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0" w:before="1200"/>
      </w:pPr>
      <w:r>
        <w:drawing>
          <wp:inline distT="0" distB="0" distL="0" distR="0">
            <wp:extent cx="1714500" cy="714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714500" cy="714375"/>
                    </a:xfrm>
                    <a:prstGeom prst="rect">
                      <a:avLst/>
                    </a:prstGeom>
                  </pic:spPr>
                </pic:pic>
              </a:graphicData>
            </a:graphic>
          </wp:inline>
        </w:drawing>
      </w:r>
    </w:p>
    <w:p>
      <w:pPr>
        <w:spacing w:after="140" w:before="0" w:line="300"/>
        <w:jc w:val="left"/>
      </w:pPr>
      <w:r>
        <w:rPr>
          <w:rFonts w:ascii="Calibri" w:cs="Calibri" w:eastAsia="Calibri" w:hAnsi="Calibri"/>
          <w:b/>
          <w:bCs/>
          <w:i w:val="false"/>
          <w:iCs w:val="false"/>
          <w:color w:val="E11D2E"/>
          <w:sz w:val="22"/>
          <w:szCs w:val="22"/>
        </w:rPr>
        <w:t xml:space="preserve">HEINEKEN × AFRICA DANCE WEEK</w:t>
      </w:r>
    </w:p>
    <w:p>
      <w:pPr>
        <w:spacing w:after="400" w:before="0" w:line="300"/>
        <w:jc w:val="left"/>
      </w:pPr>
      <w:r>
        <w:rPr>
          <w:rFonts w:ascii="Calibri" w:cs="Calibri" w:eastAsia="Calibri" w:hAnsi="Calibri"/>
          <w:b w:val="false"/>
          <w:bCs w:val="false"/>
          <w:i w:val="false"/>
          <w:iCs w:val="false"/>
          <w:color w:val="0A0A0A"/>
          <w:sz w:val="22"/>
          <w:szCs w:val="22"/>
        </w:rPr>
        <w:t xml:space="preserve"> </w:t>
      </w:r>
    </w:p>
    <w:p>
      <w:pPr>
        <w:spacing w:after="140" w:before="0" w:line="300"/>
        <w:jc w:val="left"/>
      </w:pPr>
      <w:r>
        <w:rPr>
          <w:rFonts w:ascii="Calibri" w:cs="Calibri" w:eastAsia="Calibri" w:hAnsi="Calibri"/>
          <w:b/>
          <w:bCs/>
          <w:i w:val="false"/>
          <w:iCs w:val="false"/>
          <w:color w:val="0A0A0A"/>
          <w:sz w:val="56"/>
          <w:szCs w:val="56"/>
        </w:rPr>
        <w:t xml:space="preserve">Main Partner</w:t>
      </w:r>
    </w:p>
    <w:p>
      <w:pPr>
        <w:spacing w:after="140" w:before="0" w:line="300"/>
        <w:jc w:val="left"/>
      </w:pPr>
      <w:r>
        <w:rPr>
          <w:rFonts w:ascii="Calibri" w:cs="Calibri" w:eastAsia="Calibri" w:hAnsi="Calibri"/>
          <w:b/>
          <w:bCs/>
          <w:i w:val="false"/>
          <w:iCs w:val="false"/>
          <w:color w:val="0A0A0A"/>
          <w:sz w:val="56"/>
          <w:szCs w:val="56"/>
        </w:rPr>
        <w:t xml:space="preserve">Term Sheet.</w:t>
      </w:r>
    </w:p>
    <w:p>
      <w:pPr>
        <w:spacing w:after="600" w:before="0" w:line="300"/>
        <w:jc w:val="left"/>
      </w:pPr>
      <w:r>
        <w:rPr>
          <w:rFonts w:ascii="Calibri" w:cs="Calibri" w:eastAsia="Calibri" w:hAnsi="Calibri"/>
          <w:b w:val="false"/>
          <w:bCs w:val="false"/>
          <w:i w:val="false"/>
          <w:iCs w:val="false"/>
          <w:color w:val="0A0A0A"/>
          <w:sz w:val="22"/>
          <w:szCs w:val="22"/>
        </w:rPr>
        <w:t xml:space="preserve"> </w:t>
      </w:r>
    </w:p>
    <w:p>
      <w:pPr>
        <w:spacing w:after="140" w:before="0" w:line="300"/>
        <w:jc w:val="left"/>
      </w:pPr>
      <w:r>
        <w:rPr>
          <w:rFonts w:ascii="Calibri" w:cs="Calibri" w:eastAsia="Calibri" w:hAnsi="Calibri"/>
          <w:b w:val="false"/>
          <w:bCs w:val="false"/>
          <w:i/>
          <w:iCs/>
          <w:color w:val="6B6B6B"/>
          <w:sz w:val="22"/>
          <w:szCs w:val="22"/>
        </w:rPr>
        <w:t xml:space="preserve">Working draft for discussion between Heineken Beverages (SA), Heineken International (NL), and Africa Dance Week (Pty) Ltd — April 2026.</w:t>
      </w:r>
    </w:p>
    <w:p>
      <w:pPr>
        <w:spacing w:after="1400" w:before="0" w:line="300"/>
        <w:jc w:val="left"/>
      </w:pPr>
      <w:r>
        <w:rPr>
          <w:rFonts w:ascii="Calibri" w:cs="Calibri" w:eastAsia="Calibri" w:hAnsi="Calibri"/>
          <w:b w:val="false"/>
          <w:bCs w:val="false"/>
          <w:i w:val="false"/>
          <w:iCs w:val="false"/>
          <w:color w:val="0A0A0A"/>
          <w:sz w:val="22"/>
          <w:szCs w:val="22"/>
        </w:rPr>
        <w:t xml:space="preserve"> </w:t>
      </w:r>
    </w:p>
    <w:p>
      <w:pPr>
        <w:pBdr>
          <w:top w:val="single" w:color="E11D2E" w:sz="6" w:space="1"/>
        </w:pBdr>
      </w:pPr>
      <w:r>
        <w:t xml:space="preserve"/>
      </w:r>
    </w:p>
    <w:p>
      <w:pPr>
        <w:spacing w:after="120" w:before="0" w:line="300"/>
        <w:jc w:val="left"/>
      </w:pPr>
      <w:r>
        <w:rPr>
          <w:rFonts w:ascii="Calibri" w:cs="Calibri" w:eastAsia="Calibri" w:hAnsi="Calibri"/>
          <w:b w:val="false"/>
          <w:bCs w:val="false"/>
          <w:i w:val="false"/>
          <w:iCs w:val="false"/>
          <w:color w:val="0A0A0A"/>
          <w:sz w:val="22"/>
          <w:szCs w:val="22"/>
        </w:rPr>
        <w:t xml:space="preserve"> </w:t>
      </w:r>
    </w:p>
    <w:p>
      <w:pPr>
        <w:spacing w:after="140" w:before="0" w:line="300"/>
        <w:jc w:val="left"/>
      </w:pPr>
      <w:r>
        <w:rPr>
          <w:rFonts w:ascii="Calibri" w:cs="Calibri" w:eastAsia="Calibri" w:hAnsi="Calibri"/>
          <w:b w:val="false"/>
          <w:bCs w:val="false"/>
          <w:i w:val="false"/>
          <w:iCs w:val="false"/>
          <w:color w:val="6B6B6B"/>
          <w:sz w:val="20"/>
          <w:szCs w:val="20"/>
        </w:rPr>
        <w:t xml:space="preserve">STATUS  </w:t>
      </w:r>
      <w:r>
        <w:rPr>
          <w:rFonts w:ascii="Calibri" w:cs="Calibri" w:eastAsia="Calibri" w:hAnsi="Calibri"/>
          <w:b/>
          <w:bCs/>
          <w:i w:val="false"/>
          <w:iCs w:val="false"/>
          <w:color w:val="0A0A0A"/>
          <w:sz w:val="20"/>
          <w:szCs w:val="20"/>
        </w:rPr>
        <w:t xml:space="preserve">Working Draft v1.0 — non-binding, for negotiation</w:t>
      </w:r>
    </w:p>
    <w:p>
      <w:pPr>
        <w:spacing w:after="140" w:before="0" w:line="300"/>
        <w:jc w:val="left"/>
      </w:pPr>
      <w:r>
        <w:rPr>
          <w:rFonts w:ascii="Calibri" w:cs="Calibri" w:eastAsia="Calibri" w:hAnsi="Calibri"/>
          <w:b w:val="false"/>
          <w:bCs w:val="false"/>
          <w:i w:val="false"/>
          <w:iCs w:val="false"/>
          <w:color w:val="6B6B6B"/>
          <w:sz w:val="20"/>
          <w:szCs w:val="20"/>
        </w:rPr>
        <w:t xml:space="preserve">DATED   </w:t>
      </w:r>
      <w:r>
        <w:rPr>
          <w:rFonts w:ascii="Calibri" w:cs="Calibri" w:eastAsia="Calibri" w:hAnsi="Calibri"/>
          <w:b/>
          <w:bCs/>
          <w:i w:val="false"/>
          <w:iCs w:val="false"/>
          <w:color w:val="0A0A0A"/>
          <w:sz w:val="20"/>
          <w:szCs w:val="20"/>
        </w:rPr>
        <w:t xml:space="preserve">19 April 2026</w:t>
      </w:r>
    </w:p>
    <w:p>
      <w:pPr>
        <w:spacing w:after="140" w:before="0" w:line="300"/>
        <w:jc w:val="left"/>
      </w:pPr>
      <w:r>
        <w:rPr>
          <w:rFonts w:ascii="Calibri" w:cs="Calibri" w:eastAsia="Calibri" w:hAnsi="Calibri"/>
          <w:b w:val="false"/>
          <w:bCs w:val="false"/>
          <w:i w:val="false"/>
          <w:iCs w:val="false"/>
          <w:color w:val="6B6B6B"/>
          <w:sz w:val="20"/>
          <w:szCs w:val="20"/>
        </w:rPr>
        <w:t xml:space="preserve">COUNSEL </w:t>
      </w:r>
      <w:r>
        <w:rPr>
          <w:rFonts w:ascii="Calibri" w:cs="Calibri" w:eastAsia="Calibri" w:hAnsi="Calibri"/>
          <w:b/>
          <w:bCs/>
          <w:i w:val="false"/>
          <w:iCs w:val="false"/>
          <w:color w:val="0A0A0A"/>
          <w:sz w:val="20"/>
          <w:szCs w:val="20"/>
        </w:rPr>
        <w:t xml:space="preserve">ADW to brief commercial attorney on formalisation</w:t>
      </w:r>
    </w:p>
    <w:p>
      <w:r>
        <w:br w:type="page"/>
      </w:r>
    </w:p>
    <w:p>
      <w:pPr>
        <w:pStyle w:val="Heading1"/>
        <w:spacing w:after="180" w:before="360"/>
      </w:pPr>
      <w:r>
        <w:rPr>
          <w:rFonts w:ascii="Calibri" w:cs="Calibri" w:eastAsia="Calibri" w:hAnsi="Calibri"/>
          <w:b/>
          <w:bCs/>
          <w:color w:val="0A0A0A"/>
          <w:sz w:val="32"/>
          <w:szCs w:val="32"/>
        </w:rPr>
        <w:t xml:space="preserve">Preamble and status</w:t>
      </w:r>
    </w:p>
    <w:p>
      <w:pPr>
        <w:spacing w:after="140" w:before="0" w:line="300"/>
        <w:jc w:val="left"/>
      </w:pPr>
      <w:r>
        <w:rPr>
          <w:rFonts w:ascii="Calibri" w:cs="Calibri" w:eastAsia="Calibri" w:hAnsi="Calibri"/>
          <w:b w:val="false"/>
          <w:bCs w:val="false"/>
          <w:i w:val="false"/>
          <w:iCs w:val="false"/>
          <w:color w:val="0A0A0A"/>
          <w:sz w:val="22"/>
          <w:szCs w:val="22"/>
        </w:rPr>
        <w:t xml:space="preserve">This document is a non-binding term sheet setting out the principal commercial terms on which Heineken Beverages South Africa (Pty) Ltd ("Heineken SA") and Heineken International ("Heineken NL"), together "Heineken", and Africa Dance Week (Pty) Ltd (in incorporation) ("ADW") are prepared in principle to enter into a main partner agreement for Africa Dance Week 2026 ("ADW 2026" or the "Event").</w:t>
      </w:r>
    </w:p>
    <w:p>
      <w:pPr>
        <w:spacing w:after="140" w:before="0" w:line="300"/>
        <w:jc w:val="left"/>
      </w:pPr>
      <w:r>
        <w:rPr>
          <w:rFonts w:ascii="Calibri" w:cs="Calibri" w:eastAsia="Calibri" w:hAnsi="Calibri"/>
          <w:b w:val="false"/>
          <w:bCs w:val="false"/>
          <w:i w:val="false"/>
          <w:iCs w:val="false"/>
          <w:color w:val="0A0A0A"/>
          <w:sz w:val="22"/>
          <w:szCs w:val="22"/>
        </w:rPr>
        <w:t xml:space="preserve">Save for the provisions expressly stated to be binding (Confidentiality, Exclusivity of Negotiation, Costs and Governing Law), this term sheet creates no legal obligations between the parties. A binding Sponsorship Agreement will be prepared in good faith based on the commercial terms below once both parties have confirmed acceptance of this document.</w:t>
      </w:r>
    </w:p>
    <w:p>
      <w:pPr>
        <w:spacing w:after="140" w:before="0" w:line="300"/>
        <w:jc w:val="left"/>
      </w:pPr>
      <w:r>
        <w:rPr>
          <w:rFonts w:ascii="Calibri" w:cs="Calibri" w:eastAsia="Calibri" w:hAnsi="Calibri"/>
          <w:b w:val="false"/>
          <w:bCs w:val="false"/>
          <w:i w:val="false"/>
          <w:iCs w:val="false"/>
          <w:color w:val="0A0A0A"/>
          <w:sz w:val="22"/>
          <w:szCs w:val="22"/>
        </w:rPr>
        <w:t xml:space="preserve">Where this term sheet refers to ADE, ADE Amsterdam or the Amsterdam Dance Event, it is referring to the event of that name produced by the Amsterdam Dance Event Foundation. ADE is not a party to this agreement. References to ADE are descriptive, intended to describe the commercial and cultural context in which ADW is positioned, and create no rights or obligations with respect to ADE.</w:t>
      </w:r>
    </w:p>
    <w:p>
      <w:pPr>
        <w:pStyle w:val="Heading1"/>
        <w:spacing w:after="180" w:before="360"/>
      </w:pPr>
      <w:r>
        <w:rPr>
          <w:rFonts w:ascii="Calibri" w:cs="Calibri" w:eastAsia="Calibri" w:hAnsi="Calibri"/>
          <w:b/>
          <w:bCs/>
          <w:color w:val="0A0A0A"/>
          <w:sz w:val="32"/>
          <w:szCs w:val="32"/>
        </w:rPr>
        <w:t xml:space="preserve">1. Parties</w:t>
      </w:r>
    </w:p>
    <w:p>
      <w:pPr>
        <w:spacing w:after="140" w:before="0" w:line="300"/>
        <w:jc w:val="left"/>
      </w:pPr>
      <w:r>
        <w:rPr>
          <w:rFonts w:ascii="Calibri" w:cs="Calibri" w:eastAsia="Calibri" w:hAnsi="Calibri"/>
          <w:b/>
          <w:bCs/>
          <w:i w:val="false"/>
          <w:iCs w:val="false"/>
          <w:color w:val="0A0A0A"/>
          <w:sz w:val="22"/>
          <w:szCs w:val="22"/>
        </w:rPr>
        <w:t xml:space="preserve">ADW </w:t>
      </w:r>
      <w:r>
        <w:rPr>
          <w:rFonts w:ascii="Calibri" w:cs="Calibri" w:eastAsia="Calibri" w:hAnsi="Calibri"/>
          <w:b w:val="false"/>
          <w:bCs w:val="false"/>
          <w:i w:val="false"/>
          <w:iCs w:val="false"/>
          <w:color w:val="0A0A0A"/>
          <w:sz w:val="22"/>
          <w:szCs w:val="22"/>
        </w:rPr>
        <w:t xml:space="preserve">means Africa Dance Week (Pty) Ltd, a private company in the process of incorporation in the Republic of South Africa, with shareholders comprising DanceAfrika and the Rockets Establishments group, sole operating entity for the Event. ADW warrants that incorporation will be completed and company registration number provided before signature of the final Sponsorship Agreement.</w:t>
      </w:r>
    </w:p>
    <w:p>
      <w:pPr>
        <w:spacing w:after="140" w:before="0" w:line="300"/>
        <w:jc w:val="left"/>
      </w:pPr>
      <w:r>
        <w:rPr>
          <w:rFonts w:ascii="Calibri" w:cs="Calibri" w:eastAsia="Calibri" w:hAnsi="Calibri"/>
          <w:b/>
          <w:bCs/>
          <w:i w:val="false"/>
          <w:iCs w:val="false"/>
          <w:color w:val="0A0A0A"/>
          <w:sz w:val="22"/>
          <w:szCs w:val="22"/>
        </w:rPr>
        <w:t xml:space="preserve">Heineken SA </w:t>
      </w:r>
      <w:r>
        <w:rPr>
          <w:rFonts w:ascii="Calibri" w:cs="Calibri" w:eastAsia="Calibri" w:hAnsi="Calibri"/>
          <w:b w:val="false"/>
          <w:bCs w:val="false"/>
          <w:i w:val="false"/>
          <w:iCs w:val="false"/>
          <w:color w:val="0A0A0A"/>
          <w:sz w:val="22"/>
          <w:szCs w:val="22"/>
        </w:rPr>
        <w:t xml:space="preserve">means Heineken Beverages South Africa (Pty) Ltd, the primary counterparty for execution and activation.</w:t>
      </w:r>
    </w:p>
    <w:p>
      <w:pPr>
        <w:spacing w:after="140" w:before="0" w:line="300"/>
        <w:jc w:val="left"/>
      </w:pPr>
      <w:r>
        <w:rPr>
          <w:rFonts w:ascii="Calibri" w:cs="Calibri" w:eastAsia="Calibri" w:hAnsi="Calibri"/>
          <w:b/>
          <w:bCs/>
          <w:i w:val="false"/>
          <w:iCs w:val="false"/>
          <w:color w:val="0A0A0A"/>
          <w:sz w:val="22"/>
          <w:szCs w:val="22"/>
        </w:rPr>
        <w:t xml:space="preserve">Heineken NL </w:t>
      </w:r>
      <w:r>
        <w:rPr>
          <w:rFonts w:ascii="Calibri" w:cs="Calibri" w:eastAsia="Calibri" w:hAnsi="Calibri"/>
          <w:b w:val="false"/>
          <w:bCs w:val="false"/>
          <w:i w:val="false"/>
          <w:iCs w:val="false"/>
          <w:color w:val="0A0A0A"/>
          <w:sz w:val="22"/>
          <w:szCs w:val="22"/>
        </w:rPr>
        <w:t xml:space="preserve">means Heineken International Brouwerijen B.V. or such affiliate as Heineken designates, joining as counterparty in respect of global content rights and alignment with the ADE main-partner relationship.</w:t>
      </w:r>
    </w:p>
    <w:p>
      <w:pPr>
        <w:pStyle w:val="Heading1"/>
        <w:spacing w:after="180" w:before="360"/>
      </w:pPr>
      <w:r>
        <w:rPr>
          <w:rFonts w:ascii="Calibri" w:cs="Calibri" w:eastAsia="Calibri" w:hAnsi="Calibri"/>
          <w:b/>
          <w:bCs/>
          <w:color w:val="0A0A0A"/>
          <w:sz w:val="32"/>
          <w:szCs w:val="32"/>
        </w:rPr>
        <w:t xml:space="preserve">2. The Event</w:t>
      </w:r>
    </w:p>
    <w:p>
      <w:pPr>
        <w:spacing w:after="140" w:before="0" w:line="300"/>
        <w:jc w:val="left"/>
      </w:pPr>
      <w:r>
        <w:rPr>
          <w:rFonts w:ascii="Calibri" w:cs="Calibri" w:eastAsia="Calibri" w:hAnsi="Calibri"/>
          <w:b/>
          <w:bCs/>
          <w:i w:val="false"/>
          <w:iCs w:val="false"/>
          <w:color w:val="0A0A0A"/>
          <w:sz w:val="22"/>
          <w:szCs w:val="22"/>
        </w:rPr>
        <w:t xml:space="preserve">Event:</w:t>
      </w:r>
      <w:r>
        <w:rPr>
          <w:rFonts w:ascii="Calibri" w:cs="Calibri" w:eastAsia="Calibri" w:hAnsi="Calibri"/>
          <w:b w:val="false"/>
          <w:bCs w:val="false"/>
          <w:i w:val="false"/>
          <w:iCs w:val="false"/>
          <w:color w:val="0A0A0A"/>
          <w:sz w:val="22"/>
          <w:szCs w:val="22"/>
        </w:rPr>
        <w:t xml:space="preserve"> Africa Dance Week 2026 — an industry-and-festival week modelled on Amsterdam Dance Event, taking place across Johannesburg and Cape Town, South Africa.</w:t>
      </w:r>
    </w:p>
    <w:p>
      <w:pPr>
        <w:spacing w:after="140" w:before="0" w:line="300"/>
        <w:jc w:val="left"/>
      </w:pPr>
      <w:r>
        <w:rPr>
          <w:rFonts w:ascii="Calibri" w:cs="Calibri" w:eastAsia="Calibri" w:hAnsi="Calibri"/>
          <w:b/>
          <w:bCs/>
          <w:i w:val="false"/>
          <w:iCs w:val="false"/>
          <w:color w:val="0A0A0A"/>
          <w:sz w:val="22"/>
          <w:szCs w:val="22"/>
        </w:rPr>
        <w:t xml:space="preserve">Dates:</w:t>
      </w:r>
      <w:r>
        <w:rPr>
          <w:rFonts w:ascii="Calibri" w:cs="Calibri" w:eastAsia="Calibri" w:hAnsi="Calibri"/>
          <w:b w:val="false"/>
          <w:bCs w:val="false"/>
          <w:i w:val="false"/>
          <w:iCs w:val="false"/>
          <w:color w:val="0A0A0A"/>
          <w:sz w:val="22"/>
          <w:szCs w:val="22"/>
        </w:rPr>
        <w:t xml:space="preserve"> Seven (7) consecutive days, commencing approximately 2 December 2026 (Johannesburg) and concluding approximately 8 December 2026 (Cape Town). Final dates to be confirmed by ADW no later than 31 May 2026.</w:t>
      </w:r>
    </w:p>
    <w:p>
      <w:pPr>
        <w:spacing w:after="140" w:before="0" w:line="300"/>
        <w:jc w:val="left"/>
      </w:pPr>
      <w:r>
        <w:rPr>
          <w:rFonts w:ascii="Calibri" w:cs="Calibri" w:eastAsia="Calibri" w:hAnsi="Calibri"/>
          <w:b/>
          <w:bCs/>
          <w:i w:val="false"/>
          <w:iCs w:val="false"/>
          <w:color w:val="0A0A0A"/>
          <w:sz w:val="22"/>
          <w:szCs w:val="22"/>
        </w:rPr>
        <w:t xml:space="preserve">Programme pillars:</w:t>
      </w:r>
      <w:r>
        <w:rPr>
          <w:rFonts w:ascii="Calibri" w:cs="Calibri" w:eastAsia="Calibri" w:hAnsi="Calibri"/>
          <w:b w:val="false"/>
          <w:bCs w:val="false"/>
          <w:i w:val="false"/>
          <w:iCs w:val="false"/>
          <w:color w:val="0A0A0A"/>
          <w:sz w:val="22"/>
          <w:szCs w:val="22"/>
        </w:rPr>
        <w:t xml:space="preserve"> ADW Pro (industry conference), ADW Lab (creator conference), ADW Festival (city-wide festival layer), ADW Culture, ADW Open (free daytime programme), ADW Awards, and ADW Safe (harm-reduction programme).</w:t>
      </w:r>
    </w:p>
    <w:p>
      <w:pPr>
        <w:spacing w:after="140" w:before="0" w:line="300"/>
        <w:jc w:val="left"/>
      </w:pPr>
      <w:r>
        <w:rPr>
          <w:rFonts w:ascii="Calibri" w:cs="Calibri" w:eastAsia="Calibri" w:hAnsi="Calibri"/>
          <w:b/>
          <w:bCs/>
          <w:i w:val="false"/>
          <w:iCs w:val="false"/>
          <w:color w:val="0A0A0A"/>
          <w:sz w:val="22"/>
          <w:szCs w:val="22"/>
        </w:rPr>
        <w:t xml:space="preserve">Partner venues (Year 1):</w:t>
      </w:r>
      <w:r>
        <w:rPr>
          <w:rFonts w:ascii="Calibri" w:cs="Calibri" w:eastAsia="Calibri" w:hAnsi="Calibri"/>
          <w:b w:val="false"/>
          <w:bCs w:val="false"/>
          <w:i w:val="false"/>
          <w:iCs w:val="false"/>
          <w:color w:val="0A0A0A"/>
          <w:sz w:val="22"/>
          <w:szCs w:val="22"/>
        </w:rPr>
        <w:t xml:space="preserve"> a minimum of twelve (12) premium venues across the two cities, including without limitation Rockets Bryanston, Truth Johannesburg, AND, The Basement, The Nest, and a Cape Town venue roster of not fewer than eight partners.</w:t>
      </w:r>
    </w:p>
    <w:p>
      <w:pPr>
        <w:spacing w:after="140" w:before="0" w:line="300"/>
        <w:jc w:val="left"/>
      </w:pPr>
      <w:r>
        <w:rPr>
          <w:rFonts w:ascii="Calibri" w:cs="Calibri" w:eastAsia="Calibri" w:hAnsi="Calibri"/>
          <w:b/>
          <w:bCs/>
          <w:i w:val="false"/>
          <w:iCs w:val="false"/>
          <w:color w:val="0A0A0A"/>
          <w:sz w:val="22"/>
          <w:szCs w:val="22"/>
        </w:rPr>
        <w:t xml:space="preserve">Scale targets (Year 1):</w:t>
      </w:r>
      <w:r>
        <w:rPr>
          <w:rFonts w:ascii="Calibri" w:cs="Calibri" w:eastAsia="Calibri" w:hAnsi="Calibri"/>
          <w:b w:val="false"/>
          <w:bCs w:val="false"/>
          <w:i w:val="false"/>
          <w:iCs w:val="false"/>
          <w:color w:val="0A0A0A"/>
          <w:sz w:val="22"/>
          <w:szCs w:val="22"/>
        </w:rPr>
        <w:t xml:space="preserve"> 600–800 conference delegates, 60–80 festival events, 200–300 artists, 40,000–55,000 total ticketed attendees across both cities.</w:t>
      </w:r>
    </w:p>
    <w:p>
      <w:r>
        <w:br w:type="page"/>
      </w:r>
    </w:p>
    <w:p>
      <w:pPr>
        <w:pStyle w:val="Heading1"/>
        <w:spacing w:after="180" w:before="360"/>
      </w:pPr>
      <w:r>
        <w:rPr>
          <w:rFonts w:ascii="Calibri" w:cs="Calibri" w:eastAsia="Calibri" w:hAnsi="Calibri"/>
          <w:b/>
          <w:bCs/>
          <w:color w:val="0A0A0A"/>
          <w:sz w:val="32"/>
          <w:szCs w:val="32"/>
        </w:rPr>
        <w:t xml:space="preserve">3. Rights granted to Heineken</w:t>
      </w:r>
    </w:p>
    <w:p>
      <w:pPr>
        <w:pStyle w:val="Heading2"/>
        <w:spacing w:after="120" w:before="280"/>
      </w:pPr>
      <w:r>
        <w:rPr>
          <w:rFonts w:ascii="Calibri" w:cs="Calibri" w:eastAsia="Calibri" w:hAnsi="Calibri"/>
          <w:b/>
          <w:bCs/>
          <w:color w:val="E11D2E"/>
          <w:sz w:val="24"/>
          <w:szCs w:val="24"/>
        </w:rPr>
        <w:t xml:space="preserve">3.1 Main Partner title</w:t>
      </w:r>
    </w:p>
    <w:p>
      <w:pPr>
        <w:spacing w:after="140" w:before="0" w:line="300"/>
        <w:jc w:val="left"/>
      </w:pPr>
      <w:r>
        <w:rPr>
          <w:rFonts w:ascii="Calibri" w:cs="Calibri" w:eastAsia="Calibri" w:hAnsi="Calibri"/>
          <w:b w:val="false"/>
          <w:bCs w:val="false"/>
          <w:i w:val="false"/>
          <w:iCs w:val="false"/>
          <w:color w:val="0A0A0A"/>
          <w:sz w:val="22"/>
          <w:szCs w:val="22"/>
        </w:rPr>
        <w:t xml:space="preserve">Heineken is granted the title and designation of "Main Partner" of Africa Dance Week 2026. No other sponsor, partner, advertiser or counterparty shall receive an equal or superior title, whether expressed as "Main", "Presenting", "Title", "Principal" or any equivalent.</w:t>
      </w:r>
    </w:p>
    <w:p>
      <w:pPr>
        <w:pStyle w:val="Heading2"/>
        <w:spacing w:after="120" w:before="280"/>
      </w:pPr>
      <w:r>
        <w:rPr>
          <w:rFonts w:ascii="Calibri" w:cs="Calibri" w:eastAsia="Calibri" w:hAnsi="Calibri"/>
          <w:b/>
          <w:bCs/>
          <w:color w:val="E11D2E"/>
          <w:sz w:val="24"/>
          <w:szCs w:val="24"/>
        </w:rPr>
        <w:t xml:space="preserve">3.2 Category exclusivity</w:t>
      </w:r>
    </w:p>
    <w:p>
      <w:pPr>
        <w:spacing w:after="140" w:before="0" w:line="300"/>
        <w:jc w:val="left"/>
      </w:pPr>
      <w:r>
        <w:rPr>
          <w:rFonts w:ascii="Calibri" w:cs="Calibri" w:eastAsia="Calibri" w:hAnsi="Calibri"/>
          <w:b w:val="false"/>
          <w:bCs w:val="false"/>
          <w:i w:val="false"/>
          <w:iCs w:val="false"/>
          <w:color w:val="0A0A0A"/>
          <w:sz w:val="22"/>
          <w:szCs w:val="22"/>
        </w:rPr>
        <w:t xml:space="preserve">Heineken is granted exclusivity for the duration of the Exclusivity Period (as defined below) in the following categories:</w:t>
      </w:r>
    </w:p>
    <w:p>
      <w:pPr>
        <w:pStyle w:val="ListParagraph"/>
        <w:numPr>
          <w:ilvl w:val="0"/>
          <w:numId w:val="2"/>
        </w:numPr>
        <w:spacing w:after="80" w:line="280"/>
      </w:pPr>
      <w:r>
        <w:rPr>
          <w:rFonts w:ascii="Calibri" w:cs="Calibri" w:eastAsia="Calibri" w:hAnsi="Calibri"/>
          <w:color w:val="0A0A0A"/>
          <w:sz w:val="22"/>
          <w:szCs w:val="22"/>
        </w:rPr>
        <w:t xml:space="preserve">Beer — including all lager, ale, stout, pilsner, wheat beer and craft beer.</w:t>
      </w:r>
    </w:p>
    <w:p>
      <w:pPr>
        <w:pStyle w:val="ListParagraph"/>
        <w:numPr>
          <w:ilvl w:val="0"/>
          <w:numId w:val="2"/>
        </w:numPr>
        <w:spacing w:after="80" w:line="280"/>
      </w:pPr>
      <w:r>
        <w:rPr>
          <w:rFonts w:ascii="Calibri" w:cs="Calibri" w:eastAsia="Calibri" w:hAnsi="Calibri"/>
          <w:color w:val="0A0A0A"/>
          <w:sz w:val="22"/>
          <w:szCs w:val="22"/>
        </w:rPr>
        <w:t xml:space="preserve">Cider — including all flavoured and unflavoured cider products.</w:t>
      </w:r>
    </w:p>
    <w:p>
      <w:pPr>
        <w:pStyle w:val="ListParagraph"/>
        <w:numPr>
          <w:ilvl w:val="0"/>
          <w:numId w:val="2"/>
        </w:numPr>
        <w:spacing w:after="80" w:line="280"/>
      </w:pPr>
      <w:r>
        <w:rPr>
          <w:rFonts w:ascii="Calibri" w:cs="Calibri" w:eastAsia="Calibri" w:hAnsi="Calibri"/>
          <w:color w:val="0A0A0A"/>
          <w:sz w:val="22"/>
          <w:szCs w:val="22"/>
        </w:rPr>
        <w:t xml:space="preserve">Low- and no-alcohol beer and cider — including Heineken 0.0 and equivalent.</w:t>
      </w:r>
    </w:p>
    <w:p>
      <w:pPr>
        <w:spacing w:after="200" w:before="0" w:line="300"/>
        <w:jc w:val="left"/>
      </w:pPr>
      <w:r>
        <w:rPr>
          <w:rFonts w:ascii="Calibri" w:cs="Calibri" w:eastAsia="Calibri" w:hAnsi="Calibri"/>
          <w:b w:val="false"/>
          <w:bCs w:val="false"/>
          <w:i w:val="false"/>
          <w:iCs w:val="false"/>
          <w:color w:val="0A0A0A"/>
          <w:sz w:val="22"/>
          <w:szCs w:val="22"/>
        </w:rPr>
        <w:t xml:space="preserve">No competing brand in any exclusive category may appear at any Event venue, in any Event signage or marketing, or in any Event-branded content, for the duration of the Exclusivity Period. Spirits, wine and ready-to-drink (RTD) categories are excluded from Heineken's exclusivity, save that Heineken shall have first-right-of-refusal to include Heineken-owned brands in these categories on terms to be agreed separately.</w:t>
      </w:r>
    </w:p>
    <w:p>
      <w:pPr>
        <w:spacing w:after="140" w:before="0" w:line="300"/>
        <w:jc w:val="left"/>
      </w:pPr>
      <w:r>
        <w:rPr>
          <w:rFonts w:ascii="Calibri" w:cs="Calibri" w:eastAsia="Calibri" w:hAnsi="Calibri"/>
          <w:b/>
          <w:bCs/>
          <w:i w:val="false"/>
          <w:iCs w:val="false"/>
          <w:color w:val="0A0A0A"/>
          <w:sz w:val="22"/>
          <w:szCs w:val="22"/>
        </w:rPr>
        <w:t xml:space="preserve">Exclusivity Period:</w:t>
      </w:r>
      <w:r>
        <w:rPr>
          <w:rFonts w:ascii="Calibri" w:cs="Calibri" w:eastAsia="Calibri" w:hAnsi="Calibri"/>
          <w:b w:val="false"/>
          <w:bCs w:val="false"/>
          <w:i w:val="false"/>
          <w:iCs w:val="false"/>
          <w:color w:val="0A0A0A"/>
          <w:sz w:val="22"/>
          <w:szCs w:val="22"/>
        </w:rPr>
        <w:t xml:space="preserve"> from the public announcement of the Sponsorship Agreement (expected June 2026) through sixty (60) days following the final day of ADW 2026, in the territories of South Africa and such other African territories as Heineken designates.</w:t>
      </w:r>
    </w:p>
    <w:p>
      <w:pPr>
        <w:pStyle w:val="Heading2"/>
        <w:spacing w:after="120" w:before="280"/>
      </w:pPr>
      <w:r>
        <w:rPr>
          <w:rFonts w:ascii="Calibri" w:cs="Calibri" w:eastAsia="Calibri" w:hAnsi="Calibri"/>
          <w:b/>
          <w:bCs/>
          <w:color w:val="E11D2E"/>
          <w:sz w:val="24"/>
          <w:szCs w:val="24"/>
        </w:rPr>
        <w:t xml:space="preserve">3.3 Branding and visibility</w:t>
      </w:r>
    </w:p>
    <w:p>
      <w:pPr>
        <w:pStyle w:val="ListParagraph"/>
        <w:numPr>
          <w:ilvl w:val="0"/>
          <w:numId w:val="2"/>
        </w:numPr>
        <w:spacing w:after="80" w:line="280"/>
      </w:pPr>
      <w:r>
        <w:rPr>
          <w:rFonts w:ascii="Calibri" w:cs="Calibri" w:eastAsia="Calibri" w:hAnsi="Calibri"/>
          <w:color w:val="0A0A0A"/>
          <w:sz w:val="22"/>
          <w:szCs w:val="22"/>
        </w:rPr>
        <w:t xml:space="preserve">Heineken's name and marks appearing alongside the ADW mark in all Event communications, including but not limited to website, social media, public relations releases, printed and digital marketing, delegate credentials, wayfinding, and on-site signage.</w:t>
      </w:r>
    </w:p>
    <w:p>
      <w:pPr>
        <w:pStyle w:val="ListParagraph"/>
        <w:numPr>
          <w:ilvl w:val="0"/>
          <w:numId w:val="2"/>
        </w:numPr>
        <w:spacing w:after="80" w:line="280"/>
      </w:pPr>
      <w:r>
        <w:rPr>
          <w:rFonts w:ascii="Calibri" w:cs="Calibri" w:eastAsia="Calibri" w:hAnsi="Calibri"/>
          <w:color w:val="0A0A0A"/>
          <w:sz w:val="22"/>
          <w:szCs w:val="22"/>
        </w:rPr>
        <w:t xml:space="preserve">A Heineken "presenting line" (e.g., "Africa Dance Week, in partnership with Heineken") to appear in key communications, subject to Heineken brand approval.</w:t>
      </w:r>
    </w:p>
    <w:p>
      <w:pPr>
        <w:pStyle w:val="ListParagraph"/>
        <w:numPr>
          <w:ilvl w:val="0"/>
          <w:numId w:val="2"/>
        </w:numPr>
        <w:spacing w:after="80" w:line="280"/>
      </w:pPr>
      <w:r>
        <w:rPr>
          <w:rFonts w:ascii="Calibri" w:cs="Calibri" w:eastAsia="Calibri" w:hAnsi="Calibri"/>
          <w:color w:val="0A0A0A"/>
          <w:sz w:val="22"/>
          <w:szCs w:val="22"/>
        </w:rPr>
        <w:t xml:space="preserve">Heineken branding at all Event stages and principal venues, with placement specifications to be agreed in the Activation Plan.</w:t>
      </w:r>
    </w:p>
    <w:p>
      <w:pPr>
        <w:pStyle w:val="ListParagraph"/>
        <w:numPr>
          <w:ilvl w:val="0"/>
          <w:numId w:val="2"/>
        </w:numPr>
        <w:spacing w:after="80" w:line="280"/>
      </w:pPr>
      <w:r>
        <w:rPr>
          <w:rFonts w:ascii="Calibri" w:cs="Calibri" w:eastAsia="Calibri" w:hAnsi="Calibri"/>
          <w:color w:val="0A0A0A"/>
          <w:sz w:val="22"/>
          <w:szCs w:val="22"/>
        </w:rPr>
        <w:t xml:space="preserve">Heineken branding integrated into official Event content, including the Awards broadcast, the official documentary and the podcast series.</w:t>
      </w:r>
    </w:p>
    <w:p>
      <w:pPr>
        <w:pStyle w:val="ListParagraph"/>
        <w:numPr>
          <w:ilvl w:val="0"/>
          <w:numId w:val="2"/>
        </w:numPr>
        <w:spacing w:after="80" w:line="280"/>
      </w:pPr>
      <w:r>
        <w:rPr>
          <w:rFonts w:ascii="Calibri" w:cs="Calibri" w:eastAsia="Calibri" w:hAnsi="Calibri"/>
          <w:color w:val="0A0A0A"/>
          <w:sz w:val="22"/>
          <w:szCs w:val="22"/>
        </w:rPr>
        <w:t xml:space="preserve">A dedicated partner page on the ADW website from public launch through six months post-event.</w:t>
      </w:r>
    </w:p>
    <w:p>
      <w:pPr>
        <w:pStyle w:val="Heading2"/>
        <w:spacing w:after="120" w:before="280"/>
      </w:pPr>
      <w:r>
        <w:rPr>
          <w:rFonts w:ascii="Calibri" w:cs="Calibri" w:eastAsia="Calibri" w:hAnsi="Calibri"/>
          <w:b/>
          <w:bCs/>
          <w:color w:val="E11D2E"/>
          <w:sz w:val="24"/>
          <w:szCs w:val="24"/>
        </w:rPr>
        <w:t xml:space="preserve">3.4 Physical activation rights</w:t>
      </w:r>
    </w:p>
    <w:p>
      <w:pPr>
        <w:pStyle w:val="ListParagraph"/>
        <w:numPr>
          <w:ilvl w:val="0"/>
          <w:numId w:val="2"/>
        </w:numPr>
        <w:spacing w:after="80" w:line="280"/>
      </w:pPr>
      <w:r>
        <w:rPr>
          <w:rFonts w:ascii="Calibri" w:cs="Calibri" w:eastAsia="Calibri" w:hAnsi="Calibri"/>
          <w:color w:val="0A0A0A"/>
          <w:sz w:val="22"/>
          <w:szCs w:val="22"/>
        </w:rPr>
        <w:t xml:space="preserve">House of Heineken — a hero activation space at one venue per city leg (proposed: Rockets Bryanston for the Johannesburg leg and a confirmed venue for the Cape Town leg). Operational, creative and scale parameters to be agreed in the Activation Plan, including hospitality lounge, content studio, delegate meeting space and a public-facing DJ stage.</w:t>
      </w:r>
    </w:p>
    <w:p>
      <w:pPr>
        <w:pStyle w:val="ListParagraph"/>
        <w:numPr>
          <w:ilvl w:val="0"/>
          <w:numId w:val="2"/>
        </w:numPr>
        <w:spacing w:after="80" w:line="280"/>
      </w:pPr>
      <w:r>
        <w:rPr>
          <w:rFonts w:ascii="Calibri" w:cs="Calibri" w:eastAsia="Calibri" w:hAnsi="Calibri"/>
          <w:color w:val="0A0A0A"/>
          <w:sz w:val="22"/>
          <w:szCs w:val="22"/>
        </w:rPr>
        <w:t xml:space="preserve">Branded bar stations at all partner venues serving Heineken portfolio products only (subject to existing venue supply agreements to be reviewed and resolved by ADW prior to execution).</w:t>
      </w:r>
    </w:p>
    <w:p>
      <w:pPr>
        <w:pStyle w:val="ListParagraph"/>
        <w:numPr>
          <w:ilvl w:val="0"/>
          <w:numId w:val="2"/>
        </w:numPr>
        <w:spacing w:after="80" w:line="280"/>
      </w:pPr>
      <w:r>
        <w:rPr>
          <w:rFonts w:ascii="Calibri" w:cs="Calibri" w:eastAsia="Calibri" w:hAnsi="Calibri"/>
          <w:color w:val="0A0A0A"/>
          <w:sz w:val="22"/>
          <w:szCs w:val="22"/>
        </w:rPr>
        <w:t xml:space="preserve">Heineken-branded zones, rest areas or activations at up to four (4) additional venues, to be jointly selected.</w:t>
      </w:r>
    </w:p>
    <w:p>
      <w:pPr>
        <w:pStyle w:val="ListParagraph"/>
        <w:numPr>
          <w:ilvl w:val="0"/>
          <w:numId w:val="2"/>
        </w:numPr>
        <w:spacing w:after="80" w:line="280"/>
      </w:pPr>
      <w:r>
        <w:rPr>
          <w:rFonts w:ascii="Calibri" w:cs="Calibri" w:eastAsia="Calibri" w:hAnsi="Calibri"/>
          <w:color w:val="0A0A0A"/>
          <w:sz w:val="22"/>
          <w:szCs w:val="22"/>
        </w:rPr>
        <w:t xml:space="preserve">Sampling and product trial activity at all partner venues, subject to local licensing and responsible service requirements.</w:t>
      </w:r>
    </w:p>
    <w:p>
      <w:pPr>
        <w:pStyle w:val="Heading2"/>
        <w:spacing w:after="120" w:before="280"/>
      </w:pPr>
      <w:r>
        <w:rPr>
          <w:rFonts w:ascii="Calibri" w:cs="Calibri" w:eastAsia="Calibri" w:hAnsi="Calibri"/>
          <w:b/>
          <w:bCs/>
          <w:color w:val="E11D2E"/>
          <w:sz w:val="24"/>
          <w:szCs w:val="24"/>
        </w:rPr>
        <w:t xml:space="preserve">3.5 Content and media rights</w:t>
      </w:r>
    </w:p>
    <w:p>
      <w:pPr>
        <w:pStyle w:val="ListParagraph"/>
        <w:numPr>
          <w:ilvl w:val="0"/>
          <w:numId w:val="2"/>
        </w:numPr>
        <w:spacing w:after="80" w:line="280"/>
      </w:pPr>
      <w:r>
        <w:rPr>
          <w:rFonts w:ascii="Calibri" w:cs="Calibri" w:eastAsia="Calibri" w:hAnsi="Calibri"/>
          <w:color w:val="0A0A0A"/>
          <w:sz w:val="22"/>
          <w:szCs w:val="22"/>
        </w:rPr>
        <w:t xml:space="preserve">Raw footage and edited content from all Heineken-branded Event moments, delivered on a rolling basis during and for 90 days post-Event.</w:t>
      </w:r>
    </w:p>
    <w:p>
      <w:pPr>
        <w:pStyle w:val="ListParagraph"/>
        <w:numPr>
          <w:ilvl w:val="0"/>
          <w:numId w:val="2"/>
        </w:numPr>
        <w:spacing w:after="80" w:line="280"/>
      </w:pPr>
      <w:r>
        <w:rPr>
          <w:rFonts w:ascii="Calibri" w:cs="Calibri" w:eastAsia="Calibri" w:hAnsi="Calibri"/>
          <w:color w:val="0A0A0A"/>
          <w:sz w:val="22"/>
          <w:szCs w:val="22"/>
        </w:rPr>
        <w:t xml:space="preserve">Co-production credit and logo placement on the official ADW 2026 documentary (a 45–60 minute long-form film to be produced by DiscovrTV).</w:t>
      </w:r>
    </w:p>
    <w:p>
      <w:pPr>
        <w:pStyle w:val="ListParagraph"/>
        <w:numPr>
          <w:ilvl w:val="0"/>
          <w:numId w:val="2"/>
        </w:numPr>
        <w:spacing w:after="80" w:line="280"/>
      </w:pPr>
      <w:r>
        <w:rPr>
          <w:rFonts w:ascii="Calibri" w:cs="Calibri" w:eastAsia="Calibri" w:hAnsi="Calibri"/>
          <w:color w:val="0A0A0A"/>
          <w:sz w:val="22"/>
          <w:szCs w:val="22"/>
        </w:rPr>
        <w:t xml:space="preserve">Presenting-sponsor credit on the ADW Awards broadcast.</w:t>
      </w:r>
    </w:p>
    <w:p>
      <w:pPr>
        <w:pStyle w:val="ListParagraph"/>
        <w:numPr>
          <w:ilvl w:val="0"/>
          <w:numId w:val="2"/>
        </w:numPr>
        <w:spacing w:after="80" w:line="280"/>
      </w:pPr>
      <w:r>
        <w:rPr>
          <w:rFonts w:ascii="Calibri" w:cs="Calibri" w:eastAsia="Calibri" w:hAnsi="Calibri"/>
          <w:color w:val="0A0A0A"/>
          <w:sz w:val="22"/>
          <w:szCs w:val="22"/>
        </w:rPr>
        <w:t xml:space="preserve">Presenting-sponsor credit on the official ADW 2026 podcast series (10 episodes, produced by DiscovrTV).</w:t>
      </w:r>
    </w:p>
    <w:p>
      <w:pPr>
        <w:pStyle w:val="ListParagraph"/>
        <w:numPr>
          <w:ilvl w:val="0"/>
          <w:numId w:val="2"/>
        </w:numPr>
        <w:spacing w:after="80" w:line="280"/>
      </w:pPr>
      <w:r>
        <w:rPr>
          <w:rFonts w:ascii="Calibri" w:cs="Calibri" w:eastAsia="Calibri" w:hAnsi="Calibri"/>
          <w:color w:val="0A0A0A"/>
          <w:sz w:val="22"/>
          <w:szCs w:val="22"/>
        </w:rPr>
        <w:t xml:space="preserve">Global usage rights to Event-produced content across Heineken's Africa markets for twelve (12) months post-Event, with a limited extension right thereafter to be agreed.</w:t>
      </w:r>
    </w:p>
    <w:p>
      <w:pPr>
        <w:pStyle w:val="Heading2"/>
        <w:spacing w:after="120" w:before="280"/>
      </w:pPr>
      <w:r>
        <w:rPr>
          <w:rFonts w:ascii="Calibri" w:cs="Calibri" w:eastAsia="Calibri" w:hAnsi="Calibri"/>
          <w:b/>
          <w:bCs/>
          <w:color w:val="E11D2E"/>
          <w:sz w:val="24"/>
          <w:szCs w:val="24"/>
        </w:rPr>
        <w:t xml:space="preserve">3.6 Rising Stars integration</w:t>
      </w:r>
    </w:p>
    <w:p>
      <w:pPr>
        <w:pStyle w:val="ListParagraph"/>
        <w:numPr>
          <w:ilvl w:val="0"/>
          <w:numId w:val="2"/>
        </w:numPr>
        <w:spacing w:after="80" w:line="280"/>
      </w:pPr>
      <w:r>
        <w:rPr>
          <w:rFonts w:ascii="Calibri" w:cs="Calibri" w:eastAsia="Calibri" w:hAnsi="Calibri"/>
          <w:color w:val="0A0A0A"/>
          <w:sz w:val="22"/>
          <w:szCs w:val="22"/>
        </w:rPr>
        <w:t xml:space="preserve">Heineken Rising Stars (or locally-branded equivalent) to be integrated into ADW Lab, with national entry open from the public launch date.</w:t>
      </w:r>
    </w:p>
    <w:p>
      <w:pPr>
        <w:pStyle w:val="ListParagraph"/>
        <w:numPr>
          <w:ilvl w:val="0"/>
          <w:numId w:val="2"/>
        </w:numPr>
        <w:spacing w:after="80" w:line="280"/>
      </w:pPr>
      <w:r>
        <w:rPr>
          <w:rFonts w:ascii="Calibri" w:cs="Calibri" w:eastAsia="Calibri" w:hAnsi="Calibri"/>
          <w:color w:val="0A0A0A"/>
          <w:sz w:val="22"/>
          <w:szCs w:val="22"/>
        </w:rPr>
        <w:t xml:space="preserve">Winner receives a showcase slot at the ADW Awards, mentorship from a named ADE ambassador, and a set at a Heineken-branded venue during Event week.</w:t>
      </w:r>
    </w:p>
    <w:p>
      <w:pPr>
        <w:pStyle w:val="ListParagraph"/>
        <w:numPr>
          <w:ilvl w:val="0"/>
          <w:numId w:val="2"/>
        </w:numPr>
        <w:spacing w:after="80" w:line="280"/>
      </w:pPr>
      <w:r>
        <w:rPr>
          <w:rFonts w:ascii="Calibri" w:cs="Calibri" w:eastAsia="Calibri" w:hAnsi="Calibri"/>
          <w:color w:val="0A0A0A"/>
          <w:sz w:val="22"/>
          <w:szCs w:val="22"/>
        </w:rPr>
        <w:t xml:space="preserve">Secondary prizes to include studio time, production mentorship and distribution via Paradise Distribution.</w:t>
      </w:r>
    </w:p>
    <w:p>
      <w:pPr>
        <w:pStyle w:val="Heading2"/>
        <w:spacing w:after="120" w:before="280"/>
      </w:pPr>
      <w:r>
        <w:rPr>
          <w:rFonts w:ascii="Calibri" w:cs="Calibri" w:eastAsia="Calibri" w:hAnsi="Calibri"/>
          <w:b/>
          <w:bCs/>
          <w:color w:val="E11D2E"/>
          <w:sz w:val="24"/>
          <w:szCs w:val="24"/>
        </w:rPr>
        <w:t xml:space="preserve">3.7 ADW Safe lead sponsorship</w:t>
      </w:r>
    </w:p>
    <w:p>
      <w:pPr>
        <w:pStyle w:val="ListParagraph"/>
        <w:numPr>
          <w:ilvl w:val="0"/>
          <w:numId w:val="2"/>
        </w:numPr>
        <w:spacing w:after="80" w:line="280"/>
      </w:pPr>
      <w:r>
        <w:rPr>
          <w:rFonts w:ascii="Calibri" w:cs="Calibri" w:eastAsia="Calibri" w:hAnsi="Calibri"/>
          <w:color w:val="0A0A0A"/>
          <w:sz w:val="22"/>
          <w:szCs w:val="22"/>
        </w:rPr>
        <w:t xml:space="preserve">Heineken is named as lead sponsor of ADW Safe, the harm-reduction and responsible-drinking programme across the Event.</w:t>
      </w:r>
    </w:p>
    <w:p>
      <w:pPr>
        <w:pStyle w:val="ListParagraph"/>
        <w:numPr>
          <w:ilvl w:val="0"/>
          <w:numId w:val="2"/>
        </w:numPr>
        <w:spacing w:after="80" w:line="280"/>
      </w:pPr>
      <w:r>
        <w:rPr>
          <w:rFonts w:ascii="Calibri" w:cs="Calibri" w:eastAsia="Calibri" w:hAnsi="Calibri"/>
          <w:color w:val="0A0A0A"/>
          <w:sz w:val="22"/>
          <w:szCs w:val="22"/>
        </w:rPr>
        <w:t xml:space="preserve">ADW commits to professional delivery of ADW Safe through established partners (proposed: SANCA, MOSAIC, plus qualified on-site medical at every partner venue).</w:t>
      </w:r>
    </w:p>
    <w:p>
      <w:pPr>
        <w:pStyle w:val="ListParagraph"/>
        <w:numPr>
          <w:ilvl w:val="0"/>
          <w:numId w:val="2"/>
        </w:numPr>
        <w:spacing w:after="80" w:line="280"/>
      </w:pPr>
      <w:r>
        <w:rPr>
          <w:rFonts w:ascii="Calibri" w:cs="Calibri" w:eastAsia="Calibri" w:hAnsi="Calibri"/>
          <w:color w:val="0A0A0A"/>
          <w:sz w:val="22"/>
          <w:szCs w:val="22"/>
        </w:rPr>
        <w:t xml:space="preserve">ADW commits that no responsible-drinking communication under ADW Safe will conflict with Heineken's global responsibility and advertising standards, and that all such communication will be subject to Heineken brand approval.</w:t>
      </w:r>
    </w:p>
    <w:p>
      <w:pPr>
        <w:pStyle w:val="Heading2"/>
        <w:spacing w:after="120" w:before="280"/>
      </w:pPr>
      <w:r>
        <w:rPr>
          <w:rFonts w:ascii="Calibri" w:cs="Calibri" w:eastAsia="Calibri" w:hAnsi="Calibri"/>
          <w:b/>
          <w:bCs/>
          <w:color w:val="E11D2E"/>
          <w:sz w:val="24"/>
          <w:szCs w:val="24"/>
        </w:rPr>
        <w:t xml:space="preserve">3.8 Hospitality</w:t>
      </w:r>
    </w:p>
    <w:p>
      <w:pPr>
        <w:pStyle w:val="ListParagraph"/>
        <w:numPr>
          <w:ilvl w:val="0"/>
          <w:numId w:val="2"/>
        </w:numPr>
        <w:spacing w:after="80" w:line="280"/>
      </w:pPr>
      <w:r>
        <w:rPr>
          <w:rFonts w:ascii="Calibri" w:cs="Calibri" w:eastAsia="Calibri" w:hAnsi="Calibri"/>
          <w:color w:val="0A0A0A"/>
          <w:sz w:val="22"/>
          <w:szCs w:val="22"/>
        </w:rPr>
        <w:t xml:space="preserve">30 ADW Pro delegate passes (full access, both cities, all programmes).</w:t>
      </w:r>
    </w:p>
    <w:p>
      <w:pPr>
        <w:pStyle w:val="ListParagraph"/>
        <w:numPr>
          <w:ilvl w:val="0"/>
          <w:numId w:val="2"/>
        </w:numPr>
        <w:spacing w:after="80" w:line="280"/>
      </w:pPr>
      <w:r>
        <w:rPr>
          <w:rFonts w:ascii="Calibri" w:cs="Calibri" w:eastAsia="Calibri" w:hAnsi="Calibri"/>
          <w:color w:val="0A0A0A"/>
          <w:sz w:val="22"/>
          <w:szCs w:val="22"/>
        </w:rPr>
        <w:t xml:space="preserve">15 ADW Pro+ passes (Pro access plus VIP hospitality, guaranteed access to all capacity-limited events).</w:t>
      </w:r>
    </w:p>
    <w:p>
      <w:pPr>
        <w:pStyle w:val="ListParagraph"/>
        <w:numPr>
          <w:ilvl w:val="0"/>
          <w:numId w:val="2"/>
        </w:numPr>
        <w:spacing w:after="80" w:line="280"/>
      </w:pPr>
      <w:r>
        <w:rPr>
          <w:rFonts w:ascii="Calibri" w:cs="Calibri" w:eastAsia="Calibri" w:hAnsi="Calibri"/>
          <w:color w:val="0A0A0A"/>
          <w:sz w:val="22"/>
          <w:szCs w:val="22"/>
        </w:rPr>
        <w:t xml:space="preserve">60 ADW Festival wristbands (festival-only access, both cities).</w:t>
      </w:r>
    </w:p>
    <w:p>
      <w:pPr>
        <w:pStyle w:val="ListParagraph"/>
        <w:numPr>
          <w:ilvl w:val="0"/>
          <w:numId w:val="2"/>
        </w:numPr>
        <w:spacing w:after="80" w:line="280"/>
      </w:pPr>
      <w:r>
        <w:rPr>
          <w:rFonts w:ascii="Calibri" w:cs="Calibri" w:eastAsia="Calibri" w:hAnsi="Calibri"/>
          <w:color w:val="0A0A0A"/>
          <w:sz w:val="22"/>
          <w:szCs w:val="22"/>
        </w:rPr>
        <w:t xml:space="preserve">A 20-seat table at the ADW Awards.</w:t>
      </w:r>
    </w:p>
    <w:p>
      <w:pPr>
        <w:pStyle w:val="ListParagraph"/>
        <w:numPr>
          <w:ilvl w:val="0"/>
          <w:numId w:val="2"/>
        </w:numPr>
        <w:spacing w:after="80" w:line="280"/>
      </w:pPr>
      <w:r>
        <w:rPr>
          <w:rFonts w:ascii="Calibri" w:cs="Calibri" w:eastAsia="Calibri" w:hAnsi="Calibri"/>
          <w:color w:val="0A0A0A"/>
          <w:sz w:val="22"/>
          <w:szCs w:val="22"/>
        </w:rPr>
        <w:t xml:space="preserve">Dedicated hospitality and meeting space at the House of Heineken for the duration of both city legs.</w:t>
      </w:r>
    </w:p>
    <w:p>
      <w:pPr>
        <w:pStyle w:val="Heading2"/>
        <w:spacing w:after="120" w:before="280"/>
      </w:pPr>
      <w:r>
        <w:rPr>
          <w:rFonts w:ascii="Calibri" w:cs="Calibri" w:eastAsia="Calibri" w:hAnsi="Calibri"/>
          <w:b/>
          <w:bCs/>
          <w:color w:val="E11D2E"/>
          <w:sz w:val="24"/>
          <w:szCs w:val="24"/>
        </w:rPr>
        <w:t xml:space="preserve">3.9 Matchmaking and data</w:t>
      </w:r>
    </w:p>
    <w:p>
      <w:pPr>
        <w:pStyle w:val="ListParagraph"/>
        <w:numPr>
          <w:ilvl w:val="0"/>
          <w:numId w:val="2"/>
        </w:numPr>
        <w:spacing w:after="80" w:line="280"/>
      </w:pPr>
      <w:r>
        <w:rPr>
          <w:rFonts w:ascii="Calibri" w:cs="Calibri" w:eastAsia="Calibri" w:hAnsi="Calibri"/>
          <w:color w:val="0A0A0A"/>
          <w:sz w:val="22"/>
          <w:szCs w:val="22"/>
        </w:rPr>
        <w:t xml:space="preserve">Heineken's marketing and innovation teams granted full access to the ADW Connect matchmaking platform, with a Heineken-branded company page.</w:t>
      </w:r>
    </w:p>
    <w:p>
      <w:pPr>
        <w:pStyle w:val="ListParagraph"/>
        <w:numPr>
          <w:ilvl w:val="0"/>
          <w:numId w:val="2"/>
        </w:numPr>
        <w:spacing w:after="80" w:line="280"/>
      </w:pPr>
      <w:r>
        <w:rPr>
          <w:rFonts w:ascii="Calibri" w:cs="Calibri" w:eastAsia="Calibri" w:hAnsi="Calibri"/>
          <w:color w:val="0A0A0A"/>
          <w:sz w:val="22"/>
          <w:szCs w:val="22"/>
        </w:rPr>
        <w:t xml:space="preserve">Anonymised and aggregated attendee and delegate data made available to Heineken for measurement and post-event analysis, in compliance with POPIA and Heineken's global data governance standards.</w:t>
      </w:r>
    </w:p>
    <w:p>
      <w:pPr>
        <w:pStyle w:val="ListParagraph"/>
        <w:numPr>
          <w:ilvl w:val="0"/>
          <w:numId w:val="2"/>
        </w:numPr>
        <w:spacing w:after="80" w:line="280"/>
      </w:pPr>
      <w:r>
        <w:rPr>
          <w:rFonts w:ascii="Calibri" w:cs="Calibri" w:eastAsia="Calibri" w:hAnsi="Calibri"/>
          <w:color w:val="0A0A0A"/>
          <w:sz w:val="22"/>
          <w:szCs w:val="22"/>
        </w:rPr>
        <w:t xml:space="preserve">No personally identifiable data transferred without explicit opt-in consent from the individual concerned.</w:t>
      </w:r>
    </w:p>
    <w:p>
      <w:r>
        <w:br w:type="page"/>
      </w:r>
    </w:p>
    <w:p>
      <w:pPr>
        <w:pStyle w:val="Heading1"/>
        <w:spacing w:after="180" w:before="360"/>
      </w:pPr>
      <w:r>
        <w:rPr>
          <w:rFonts w:ascii="Calibri" w:cs="Calibri" w:eastAsia="Calibri" w:hAnsi="Calibri"/>
          <w:b/>
          <w:bCs/>
          <w:color w:val="0A0A0A"/>
          <w:sz w:val="32"/>
          <w:szCs w:val="32"/>
        </w:rPr>
        <w:t xml:space="preserve">4. Fees</w:t>
      </w:r>
    </w:p>
    <w:p>
      <w:pPr>
        <w:spacing w:after="140" w:before="0" w:line="300"/>
        <w:jc w:val="left"/>
      </w:pPr>
      <w:r>
        <w:rPr>
          <w:rFonts w:ascii="Calibri" w:cs="Calibri" w:eastAsia="Calibri" w:hAnsi="Calibri"/>
          <w:b/>
          <w:bCs/>
          <w:i w:val="false"/>
          <w:iCs w:val="false"/>
          <w:color w:val="0A0A0A"/>
          <w:sz w:val="22"/>
          <w:szCs w:val="22"/>
        </w:rPr>
        <w:t xml:space="preserve">Sponsorship fee:</w:t>
      </w:r>
      <w:r>
        <w:rPr>
          <w:rFonts w:ascii="Calibri" w:cs="Calibri" w:eastAsia="Calibri" w:hAnsi="Calibri"/>
          <w:b w:val="false"/>
          <w:bCs w:val="false"/>
          <w:i w:val="false"/>
          <w:iCs w:val="false"/>
          <w:color w:val="0A0A0A"/>
          <w:sz w:val="22"/>
          <w:szCs w:val="22"/>
        </w:rPr>
        <w:t xml:space="preserve"> R10,000,000 (ten million Rand), exclusive of VAT.</w:t>
      </w:r>
    </w:p>
    <w:p>
      <w:pPr>
        <w:spacing w:after="140" w:before="0" w:line="300"/>
        <w:jc w:val="left"/>
      </w:pPr>
      <w:r>
        <w:rPr>
          <w:rFonts w:ascii="Calibri" w:cs="Calibri" w:eastAsia="Calibri" w:hAnsi="Calibri"/>
          <w:b/>
          <w:bCs/>
          <w:i w:val="false"/>
          <w:iCs w:val="false"/>
          <w:color w:val="0A0A0A"/>
          <w:sz w:val="22"/>
          <w:szCs w:val="22"/>
        </w:rPr>
        <w:t xml:space="preserve">Payment schedule:</w:t>
      </w:r>
    </w:p>
    <w:p>
      <w:pPr>
        <w:pStyle w:val="ListParagraph"/>
        <w:numPr>
          <w:ilvl w:val="0"/>
          <w:numId w:val="2"/>
        </w:numPr>
        <w:spacing w:after="80" w:line="280"/>
      </w:pPr>
      <w:r>
        <w:rPr>
          <w:rFonts w:ascii="Calibri" w:cs="Calibri" w:eastAsia="Calibri" w:hAnsi="Calibri"/>
          <w:color w:val="0A0A0A"/>
          <w:sz w:val="22"/>
          <w:szCs w:val="22"/>
        </w:rPr>
        <w:t xml:space="preserve">40% (R4,000,000 ex-VAT) on signature of the binding Sponsorship Agreement — targeted end May / early June 2026.</w:t>
      </w:r>
    </w:p>
    <w:p>
      <w:pPr>
        <w:pStyle w:val="ListParagraph"/>
        <w:numPr>
          <w:ilvl w:val="0"/>
          <w:numId w:val="2"/>
        </w:numPr>
        <w:spacing w:after="80" w:line="280"/>
      </w:pPr>
      <w:r>
        <w:rPr>
          <w:rFonts w:ascii="Calibri" w:cs="Calibri" w:eastAsia="Calibri" w:hAnsi="Calibri"/>
          <w:color w:val="0A0A0A"/>
          <w:sz w:val="22"/>
          <w:szCs w:val="22"/>
        </w:rPr>
        <w:t xml:space="preserve">30% (R3,000,000 ex-VAT) on 1 September 2026.</w:t>
      </w:r>
    </w:p>
    <w:p>
      <w:pPr>
        <w:pStyle w:val="ListParagraph"/>
        <w:numPr>
          <w:ilvl w:val="0"/>
          <w:numId w:val="2"/>
        </w:numPr>
        <w:spacing w:after="80" w:line="280"/>
      </w:pPr>
      <w:r>
        <w:rPr>
          <w:rFonts w:ascii="Calibri" w:cs="Calibri" w:eastAsia="Calibri" w:hAnsi="Calibri"/>
          <w:color w:val="0A0A0A"/>
          <w:sz w:val="22"/>
          <w:szCs w:val="22"/>
        </w:rPr>
        <w:t xml:space="preserve">30% (R3,000,000 ex-VAT) on 15 November 2026.</w:t>
      </w:r>
    </w:p>
    <w:p>
      <w:pPr>
        <w:spacing w:after="200" w:before="0" w:line="300"/>
        <w:jc w:val="left"/>
      </w:pPr>
      <w:r>
        <w:rPr>
          <w:rFonts w:ascii="Calibri" w:cs="Calibri" w:eastAsia="Calibri" w:hAnsi="Calibri"/>
          <w:b w:val="false"/>
          <w:bCs w:val="false"/>
          <w:i w:val="false"/>
          <w:iCs w:val="false"/>
          <w:color w:val="0A0A0A"/>
          <w:sz w:val="22"/>
          <w:szCs w:val="22"/>
        </w:rPr>
        <w:t xml:space="preserve">VAT, where applicable, payable against valid tax invoice at the time of each instalment.</w:t>
      </w:r>
    </w:p>
    <w:p>
      <w:pPr>
        <w:spacing w:after="140" w:before="0" w:line="300"/>
        <w:jc w:val="left"/>
      </w:pPr>
      <w:r>
        <w:rPr>
          <w:rFonts w:ascii="Calibri" w:cs="Calibri" w:eastAsia="Calibri" w:hAnsi="Calibri"/>
          <w:b/>
          <w:bCs/>
          <w:i w:val="false"/>
          <w:iCs w:val="false"/>
          <w:color w:val="0A0A0A"/>
          <w:sz w:val="22"/>
          <w:szCs w:val="22"/>
        </w:rPr>
        <w:t xml:space="preserve">Value-in-kind (VIK):</w:t>
      </w:r>
      <w:r>
        <w:rPr>
          <w:rFonts w:ascii="Calibri" w:cs="Calibri" w:eastAsia="Calibri" w:hAnsi="Calibri"/>
          <w:b w:val="false"/>
          <w:bCs w:val="false"/>
          <w:i w:val="false"/>
          <w:iCs w:val="false"/>
          <w:color w:val="0A0A0A"/>
          <w:sz w:val="22"/>
          <w:szCs w:val="22"/>
        </w:rPr>
        <w:t xml:space="preserve"> separate to the cash fee, Heineken shall supply Event-week product volumes on terms to be agreed in an annex to the Sponsorship Agreement. Indicative volume: product to cover all Heineken-branded venues and the full 7-day Event window.</w:t>
      </w:r>
    </w:p>
    <w:p>
      <w:pPr>
        <w:spacing w:after="140" w:before="0" w:line="300"/>
        <w:jc w:val="left"/>
      </w:pPr>
      <w:r>
        <w:rPr>
          <w:rFonts w:ascii="Calibri" w:cs="Calibri" w:eastAsia="Calibri" w:hAnsi="Calibri"/>
          <w:b/>
          <w:bCs/>
          <w:i w:val="false"/>
          <w:iCs w:val="false"/>
          <w:color w:val="0A0A0A"/>
          <w:sz w:val="22"/>
          <w:szCs w:val="22"/>
        </w:rPr>
        <w:t xml:space="preserve">Media commitment:</w:t>
      </w:r>
      <w:r>
        <w:rPr>
          <w:rFonts w:ascii="Calibri" w:cs="Calibri" w:eastAsia="Calibri" w:hAnsi="Calibri"/>
          <w:b w:val="false"/>
          <w:bCs w:val="false"/>
          <w:i w:val="false"/>
          <w:iCs w:val="false"/>
          <w:color w:val="0A0A0A"/>
          <w:sz w:val="22"/>
          <w:szCs w:val="22"/>
        </w:rPr>
        <w:t xml:space="preserve"> Heineken will commit a separate media budget (targeted R5,000,000+) to support ADW 2026 through Heineken's owned and paid channels in South Africa. This is in addition to the sponsorship fee and shall be deployed according to a jointly-agreed Media Plan.</w:t>
      </w:r>
    </w:p>
    <w:p>
      <w:pPr>
        <w:pStyle w:val="Heading1"/>
        <w:spacing w:after="180" w:before="360"/>
      </w:pPr>
      <w:r>
        <w:rPr>
          <w:rFonts w:ascii="Calibri" w:cs="Calibri" w:eastAsia="Calibri" w:hAnsi="Calibri"/>
          <w:b/>
          <w:bCs/>
          <w:color w:val="0A0A0A"/>
          <w:sz w:val="32"/>
          <w:szCs w:val="32"/>
        </w:rPr>
        <w:t xml:space="preserve">5. ADW's commitments and deliverables</w:t>
      </w:r>
    </w:p>
    <w:p>
      <w:pPr>
        <w:pStyle w:val="Heading2"/>
        <w:spacing w:after="120" w:before="280"/>
      </w:pPr>
      <w:r>
        <w:rPr>
          <w:rFonts w:ascii="Calibri" w:cs="Calibri" w:eastAsia="Calibri" w:hAnsi="Calibri"/>
          <w:b/>
          <w:bCs/>
          <w:color w:val="E11D2E"/>
          <w:sz w:val="24"/>
          <w:szCs w:val="24"/>
        </w:rPr>
        <w:t xml:space="preserve">5.1 Delivery standards</w:t>
      </w:r>
    </w:p>
    <w:p>
      <w:pPr>
        <w:spacing w:after="140" w:before="0" w:line="300"/>
        <w:jc w:val="left"/>
      </w:pPr>
      <w:r>
        <w:rPr>
          <w:rFonts w:ascii="Calibri" w:cs="Calibri" w:eastAsia="Calibri" w:hAnsi="Calibri"/>
          <w:b w:val="false"/>
          <w:bCs w:val="false"/>
          <w:i w:val="false"/>
          <w:iCs w:val="false"/>
          <w:color w:val="0A0A0A"/>
          <w:sz w:val="22"/>
          <w:szCs w:val="22"/>
        </w:rPr>
        <w:t xml:space="preserve">ADW commits to deliver the Event to a professional international standard consistent with comparable events (ADE, Miami Music Week, Primavera Pro), including:</w:t>
      </w:r>
    </w:p>
    <w:p>
      <w:pPr>
        <w:pStyle w:val="ListParagraph"/>
        <w:numPr>
          <w:ilvl w:val="0"/>
          <w:numId w:val="2"/>
        </w:numPr>
        <w:spacing w:after="80" w:line="280"/>
      </w:pPr>
      <w:r>
        <w:rPr>
          <w:rFonts w:ascii="Calibri" w:cs="Calibri" w:eastAsia="Calibri" w:hAnsi="Calibri"/>
          <w:color w:val="0A0A0A"/>
          <w:sz w:val="22"/>
          <w:szCs w:val="22"/>
        </w:rPr>
        <w:t xml:space="preserve">Partner venues meeting ADW Accredited Venue minimum standards before the Event.</w:t>
      </w:r>
    </w:p>
    <w:p>
      <w:pPr>
        <w:pStyle w:val="ListParagraph"/>
        <w:numPr>
          <w:ilvl w:val="0"/>
          <w:numId w:val="2"/>
        </w:numPr>
        <w:spacing w:after="80" w:line="280"/>
      </w:pPr>
      <w:r>
        <w:rPr>
          <w:rFonts w:ascii="Calibri" w:cs="Calibri" w:eastAsia="Calibri" w:hAnsi="Calibri"/>
          <w:color w:val="0A0A0A"/>
          <w:sz w:val="22"/>
          <w:szCs w:val="22"/>
        </w:rPr>
        <w:t xml:space="preserve">Qualified and trained on-site crew at all partner venues.</w:t>
      </w:r>
    </w:p>
    <w:p>
      <w:pPr>
        <w:pStyle w:val="ListParagraph"/>
        <w:numPr>
          <w:ilvl w:val="0"/>
          <w:numId w:val="2"/>
        </w:numPr>
        <w:spacing w:after="80" w:line="280"/>
      </w:pPr>
      <w:r>
        <w:rPr>
          <w:rFonts w:ascii="Calibri" w:cs="Calibri" w:eastAsia="Calibri" w:hAnsi="Calibri"/>
          <w:color w:val="0A0A0A"/>
          <w:sz w:val="22"/>
          <w:szCs w:val="22"/>
        </w:rPr>
        <w:t xml:space="preserve">Professional medical and harm-reduction presence at all partner venues throughout operating hours.</w:t>
      </w:r>
    </w:p>
    <w:p>
      <w:pPr>
        <w:pStyle w:val="ListParagraph"/>
        <w:numPr>
          <w:ilvl w:val="0"/>
          <w:numId w:val="2"/>
        </w:numPr>
        <w:spacing w:after="80" w:line="280"/>
      </w:pPr>
      <w:r>
        <w:rPr>
          <w:rFonts w:ascii="Calibri" w:cs="Calibri" w:eastAsia="Calibri" w:hAnsi="Calibri"/>
          <w:color w:val="0A0A0A"/>
          <w:sz w:val="22"/>
          <w:szCs w:val="22"/>
        </w:rPr>
        <w:t xml:space="preserve">A dedicated Event operations command centre staffed throughout the 7-day window.</w:t>
      </w:r>
    </w:p>
    <w:p>
      <w:pPr>
        <w:pStyle w:val="ListParagraph"/>
        <w:numPr>
          <w:ilvl w:val="0"/>
          <w:numId w:val="2"/>
        </w:numPr>
        <w:spacing w:after="80" w:line="280"/>
      </w:pPr>
      <w:r>
        <w:rPr>
          <w:rFonts w:ascii="Calibri" w:cs="Calibri" w:eastAsia="Calibri" w:hAnsi="Calibri"/>
          <w:color w:val="0A0A0A"/>
          <w:sz w:val="22"/>
          <w:szCs w:val="22"/>
        </w:rPr>
        <w:t xml:space="preserve">Real-time incident escalation protocols notified to Heineken's Event liaison.</w:t>
      </w:r>
    </w:p>
    <w:p>
      <w:pPr>
        <w:pStyle w:val="Heading2"/>
        <w:spacing w:after="120" w:before="280"/>
      </w:pPr>
      <w:r>
        <w:rPr>
          <w:rFonts w:ascii="Calibri" w:cs="Calibri" w:eastAsia="Calibri" w:hAnsi="Calibri"/>
          <w:b/>
          <w:bCs/>
          <w:color w:val="E11D2E"/>
          <w:sz w:val="24"/>
          <w:szCs w:val="24"/>
        </w:rPr>
        <w:t xml:space="preserve">5.2 Approvals and brand safety</w:t>
      </w:r>
    </w:p>
    <w:p>
      <w:pPr>
        <w:pStyle w:val="ListParagraph"/>
        <w:numPr>
          <w:ilvl w:val="0"/>
          <w:numId w:val="2"/>
        </w:numPr>
        <w:spacing w:after="80" w:line="280"/>
      </w:pPr>
      <w:r>
        <w:rPr>
          <w:rFonts w:ascii="Calibri" w:cs="Calibri" w:eastAsia="Calibri" w:hAnsi="Calibri"/>
          <w:color w:val="0A0A0A"/>
          <w:sz w:val="22"/>
          <w:szCs w:val="22"/>
        </w:rPr>
        <w:t xml:space="preserve">All uses of Heineken marks, names or brand references subject to Heineken brand approval on a 48-hour turnaround (expedited during live Event week).</w:t>
      </w:r>
    </w:p>
    <w:p>
      <w:pPr>
        <w:pStyle w:val="ListParagraph"/>
        <w:numPr>
          <w:ilvl w:val="0"/>
          <w:numId w:val="2"/>
        </w:numPr>
        <w:spacing w:after="80" w:line="280"/>
      </w:pPr>
      <w:r>
        <w:rPr>
          <w:rFonts w:ascii="Calibri" w:cs="Calibri" w:eastAsia="Calibri" w:hAnsi="Calibri"/>
          <w:color w:val="0A0A0A"/>
          <w:sz w:val="22"/>
          <w:szCs w:val="22"/>
        </w:rPr>
        <w:t xml:space="preserve">ADW commits that no Event programming, artist or content associated with Heineken branding will feature content that conflicts with Heineken's Global Commercial Principles or would reasonably be expected to cause brand damage.</w:t>
      </w:r>
    </w:p>
    <w:p>
      <w:pPr>
        <w:pStyle w:val="ListParagraph"/>
        <w:numPr>
          <w:ilvl w:val="0"/>
          <w:numId w:val="2"/>
        </w:numPr>
        <w:spacing w:after="80" w:line="280"/>
      </w:pPr>
      <w:r>
        <w:rPr>
          <w:rFonts w:ascii="Calibri" w:cs="Calibri" w:eastAsia="Calibri" w:hAnsi="Calibri"/>
          <w:color w:val="0A0A0A"/>
          <w:sz w:val="22"/>
          <w:szCs w:val="22"/>
        </w:rPr>
        <w:t xml:space="preserve">A joint approval committee (2 Heineken + 2 ADW) to convene monthly from agreement signature through Event delivery.</w:t>
      </w:r>
    </w:p>
    <w:p>
      <w:pPr>
        <w:pStyle w:val="Heading2"/>
        <w:spacing w:after="120" w:before="280"/>
      </w:pPr>
      <w:r>
        <w:rPr>
          <w:rFonts w:ascii="Calibri" w:cs="Calibri" w:eastAsia="Calibri" w:hAnsi="Calibri"/>
          <w:b/>
          <w:bCs/>
          <w:color w:val="E11D2E"/>
          <w:sz w:val="24"/>
          <w:szCs w:val="24"/>
        </w:rPr>
        <w:t xml:space="preserve">5.3 Insurance and risk</w:t>
      </w:r>
    </w:p>
    <w:p>
      <w:pPr>
        <w:pStyle w:val="ListParagraph"/>
        <w:numPr>
          <w:ilvl w:val="0"/>
          <w:numId w:val="2"/>
        </w:numPr>
        <w:spacing w:after="80" w:line="280"/>
      </w:pPr>
      <w:r>
        <w:rPr>
          <w:rFonts w:ascii="Calibri" w:cs="Calibri" w:eastAsia="Calibri" w:hAnsi="Calibri"/>
          <w:color w:val="0A0A0A"/>
          <w:sz w:val="22"/>
          <w:szCs w:val="22"/>
        </w:rPr>
        <w:t xml:space="preserve">Event cancellation insurance to minimum cover of R15,000,000.</w:t>
      </w:r>
    </w:p>
    <w:p>
      <w:pPr>
        <w:pStyle w:val="ListParagraph"/>
        <w:numPr>
          <w:ilvl w:val="0"/>
          <w:numId w:val="2"/>
        </w:numPr>
        <w:spacing w:after="80" w:line="280"/>
      </w:pPr>
      <w:r>
        <w:rPr>
          <w:rFonts w:ascii="Calibri" w:cs="Calibri" w:eastAsia="Calibri" w:hAnsi="Calibri"/>
          <w:color w:val="0A0A0A"/>
          <w:sz w:val="22"/>
          <w:szCs w:val="22"/>
        </w:rPr>
        <w:t xml:space="preserve">Public liability insurance to minimum cover of R50,000,000, naming Heineken as an additional insured.</w:t>
      </w:r>
    </w:p>
    <w:p>
      <w:pPr>
        <w:pStyle w:val="ListParagraph"/>
        <w:numPr>
          <w:ilvl w:val="0"/>
          <w:numId w:val="2"/>
        </w:numPr>
        <w:spacing w:after="80" w:line="280"/>
      </w:pPr>
      <w:r>
        <w:rPr>
          <w:rFonts w:ascii="Calibri" w:cs="Calibri" w:eastAsia="Calibri" w:hAnsi="Calibri"/>
          <w:color w:val="0A0A0A"/>
          <w:sz w:val="22"/>
          <w:szCs w:val="22"/>
        </w:rPr>
        <w:t xml:space="preserve">Professional indemnity insurance to minimum cover of R10,000,000.</w:t>
      </w:r>
    </w:p>
    <w:p>
      <w:pPr>
        <w:pStyle w:val="ListParagraph"/>
        <w:numPr>
          <w:ilvl w:val="0"/>
          <w:numId w:val="2"/>
        </w:numPr>
        <w:spacing w:after="80" w:line="280"/>
      </w:pPr>
      <w:r>
        <w:rPr>
          <w:rFonts w:ascii="Calibri" w:cs="Calibri" w:eastAsia="Calibri" w:hAnsi="Calibri"/>
          <w:color w:val="0A0A0A"/>
          <w:sz w:val="22"/>
          <w:szCs w:val="22"/>
        </w:rPr>
        <w:t xml:space="preserve">Force majeure, cancellation and rescheduling provisions as per Section 8 below.</w:t>
      </w:r>
    </w:p>
    <w:p>
      <w:pPr>
        <w:pStyle w:val="Heading2"/>
        <w:spacing w:after="120" w:before="280"/>
      </w:pPr>
      <w:r>
        <w:rPr>
          <w:rFonts w:ascii="Calibri" w:cs="Calibri" w:eastAsia="Calibri" w:hAnsi="Calibri"/>
          <w:b/>
          <w:bCs/>
          <w:color w:val="E11D2E"/>
          <w:sz w:val="24"/>
          <w:szCs w:val="24"/>
        </w:rPr>
        <w:t xml:space="preserve">5.4 Measurement and reporting</w:t>
      </w:r>
    </w:p>
    <w:p>
      <w:pPr>
        <w:pStyle w:val="ListParagraph"/>
        <w:numPr>
          <w:ilvl w:val="0"/>
          <w:numId w:val="2"/>
        </w:numPr>
        <w:spacing w:after="80" w:line="280"/>
      </w:pPr>
      <w:r>
        <w:rPr>
          <w:rFonts w:ascii="Calibri" w:cs="Calibri" w:eastAsia="Calibri" w:hAnsi="Calibri"/>
          <w:color w:val="0A0A0A"/>
          <w:sz w:val="22"/>
          <w:szCs w:val="22"/>
        </w:rPr>
        <w:t xml:space="preserve">ADW will commission an independent brand-lift study (Kantar or equivalent) measuring Heineken brand metrics pre-Event baseline and 30 days post-Event, the budget for which is carried by ADW.</w:t>
      </w:r>
    </w:p>
    <w:p>
      <w:pPr>
        <w:pStyle w:val="ListParagraph"/>
        <w:numPr>
          <w:ilvl w:val="0"/>
          <w:numId w:val="2"/>
        </w:numPr>
        <w:spacing w:after="80" w:line="280"/>
      </w:pPr>
      <w:r>
        <w:rPr>
          <w:rFonts w:ascii="Calibri" w:cs="Calibri" w:eastAsia="Calibri" w:hAnsi="Calibri"/>
          <w:color w:val="0A0A0A"/>
          <w:sz w:val="22"/>
          <w:szCs w:val="22"/>
        </w:rPr>
        <w:t xml:space="preserve">An independent sponsorship valuation report covering total media value delivered to Heineken, prepared by a recognised firm (Nielsen Sponsorship, MediaCom Sports, or equivalent) within 45 days of Event close.</w:t>
      </w:r>
    </w:p>
    <w:p>
      <w:pPr>
        <w:pStyle w:val="ListParagraph"/>
        <w:numPr>
          <w:ilvl w:val="0"/>
          <w:numId w:val="2"/>
        </w:numPr>
        <w:spacing w:after="80" w:line="280"/>
      </w:pPr>
      <w:r>
        <w:rPr>
          <w:rFonts w:ascii="Calibri" w:cs="Calibri" w:eastAsia="Calibri" w:hAnsi="Calibri"/>
          <w:color w:val="0A0A0A"/>
          <w:sz w:val="22"/>
          <w:szCs w:val="22"/>
        </w:rPr>
        <w:t xml:space="preserve">A post-Event Tourism Economic Impact Assessment prepared jointly with Johannesburg Tourism and Cape Town Tourism.</w:t>
      </w:r>
    </w:p>
    <w:p>
      <w:pPr>
        <w:pStyle w:val="ListParagraph"/>
        <w:numPr>
          <w:ilvl w:val="0"/>
          <w:numId w:val="2"/>
        </w:numPr>
        <w:spacing w:after="80" w:line="280"/>
      </w:pPr>
      <w:r>
        <w:rPr>
          <w:rFonts w:ascii="Calibri" w:cs="Calibri" w:eastAsia="Calibri" w:hAnsi="Calibri"/>
          <w:color w:val="0A0A0A"/>
          <w:sz w:val="22"/>
          <w:szCs w:val="22"/>
        </w:rPr>
        <w:t xml:space="preserve">Quarterly performance reports against agreed KPIs through the Exclusivity Period.</w:t>
      </w:r>
    </w:p>
    <w:p>
      <w:r>
        <w:br w:type="page"/>
      </w:r>
    </w:p>
    <w:p>
      <w:pPr>
        <w:pStyle w:val="Heading1"/>
        <w:spacing w:after="180" w:before="360"/>
      </w:pPr>
      <w:r>
        <w:rPr>
          <w:rFonts w:ascii="Calibri" w:cs="Calibri" w:eastAsia="Calibri" w:hAnsi="Calibri"/>
          <w:b/>
          <w:bCs/>
          <w:color w:val="0A0A0A"/>
          <w:sz w:val="32"/>
          <w:szCs w:val="32"/>
        </w:rPr>
        <w:t xml:space="preserve">6. Renewal and future years</w:t>
      </w:r>
    </w:p>
    <w:p>
      <w:pPr>
        <w:spacing w:after="140" w:before="0" w:line="300"/>
        <w:jc w:val="left"/>
      </w:pPr>
      <w:r>
        <w:rPr>
          <w:rFonts w:ascii="Calibri" w:cs="Calibri" w:eastAsia="Calibri" w:hAnsi="Calibri"/>
          <w:b/>
          <w:bCs/>
          <w:i w:val="false"/>
          <w:iCs w:val="false"/>
          <w:color w:val="0A0A0A"/>
          <w:sz w:val="22"/>
          <w:szCs w:val="22"/>
        </w:rPr>
        <w:t xml:space="preserve">Right of first refusal:</w:t>
      </w:r>
      <w:r>
        <w:rPr>
          <w:rFonts w:ascii="Calibri" w:cs="Calibri" w:eastAsia="Calibri" w:hAnsi="Calibri"/>
          <w:b w:val="false"/>
          <w:bCs w:val="false"/>
          <w:i w:val="false"/>
          <w:iCs w:val="false"/>
          <w:color w:val="0A0A0A"/>
          <w:sz w:val="22"/>
          <w:szCs w:val="22"/>
        </w:rPr>
        <w:t xml:space="preserve"> Heineken shall have a right of first refusal to renew as Main Partner of ADW for the 2027 edition. ADW will provide Heineken with a renewal term sheet on or before 31 May 2027, with terms no less favourable than would be offered to any third party.</w:t>
      </w:r>
    </w:p>
    <w:p>
      <w:pPr>
        <w:spacing w:after="140" w:before="0" w:line="300"/>
        <w:jc w:val="left"/>
      </w:pPr>
      <w:r>
        <w:rPr>
          <w:rFonts w:ascii="Calibri" w:cs="Calibri" w:eastAsia="Calibri" w:hAnsi="Calibri"/>
          <w:b/>
          <w:bCs/>
          <w:i w:val="false"/>
          <w:iCs w:val="false"/>
          <w:color w:val="0A0A0A"/>
          <w:sz w:val="22"/>
          <w:szCs w:val="22"/>
        </w:rPr>
        <w:t xml:space="preserve">Indicative three-year envelope (subject to renewal negotiation):</w:t>
      </w:r>
    </w:p>
    <w:p>
      <w:pPr>
        <w:pStyle w:val="ListParagraph"/>
        <w:numPr>
          <w:ilvl w:val="0"/>
          <w:numId w:val="2"/>
        </w:numPr>
        <w:spacing w:after="80" w:line="280"/>
      </w:pPr>
      <w:r>
        <w:rPr>
          <w:rFonts w:ascii="Calibri" w:cs="Calibri" w:eastAsia="Calibri" w:hAnsi="Calibri"/>
          <w:color w:val="0A0A0A"/>
          <w:sz w:val="22"/>
          <w:szCs w:val="22"/>
        </w:rPr>
        <w:t xml:space="preserve">Year 1 (2026): R10,000,000 — pilot, proof of concept.</w:t>
      </w:r>
    </w:p>
    <w:p>
      <w:pPr>
        <w:pStyle w:val="ListParagraph"/>
        <w:numPr>
          <w:ilvl w:val="0"/>
          <w:numId w:val="2"/>
        </w:numPr>
        <w:spacing w:after="80" w:line="280"/>
      </w:pPr>
      <w:r>
        <w:rPr>
          <w:rFonts w:ascii="Calibri" w:cs="Calibri" w:eastAsia="Calibri" w:hAnsi="Calibri"/>
          <w:color w:val="0A0A0A"/>
          <w:sz w:val="22"/>
          <w:szCs w:val="22"/>
        </w:rPr>
        <w:t xml:space="preserve">Year 2 (2027): R15,000,000–R20,000,000 — scale year, in line with demonstrated Year 1 ROI.</w:t>
      </w:r>
    </w:p>
    <w:p>
      <w:pPr>
        <w:pStyle w:val="ListParagraph"/>
        <w:numPr>
          <w:ilvl w:val="0"/>
          <w:numId w:val="2"/>
        </w:numPr>
        <w:spacing w:after="80" w:line="280"/>
      </w:pPr>
      <w:r>
        <w:rPr>
          <w:rFonts w:ascii="Calibri" w:cs="Calibri" w:eastAsia="Calibri" w:hAnsi="Calibri"/>
          <w:color w:val="0A0A0A"/>
          <w:sz w:val="22"/>
          <w:szCs w:val="22"/>
        </w:rPr>
        <w:t xml:space="preserve">Year 3 (2028): R25,000,000–R30,000,000 — ADE-scale edition, pending demonstrated audience and industry growth.</w:t>
      </w:r>
    </w:p>
    <w:p>
      <w:pPr>
        <w:spacing w:after="200" w:before="0" w:line="300"/>
        <w:jc w:val="left"/>
      </w:pPr>
      <w:r>
        <w:rPr>
          <w:rFonts w:ascii="Calibri" w:cs="Calibri" w:eastAsia="Calibri" w:hAnsi="Calibri"/>
          <w:b w:val="false"/>
          <w:bCs w:val="false"/>
          <w:i w:val="false"/>
          <w:iCs w:val="false"/>
          <w:color w:val="0A0A0A"/>
          <w:sz w:val="22"/>
          <w:szCs w:val="22"/>
        </w:rPr>
        <w:t xml:space="preserve">These figures are indicative and non-binding. Each year's renewal will be negotiated on its own commercial merits.</w:t>
      </w:r>
    </w:p>
    <w:p>
      <w:pPr>
        <w:pStyle w:val="Heading1"/>
        <w:spacing w:after="180" w:before="360"/>
      </w:pPr>
      <w:r>
        <w:rPr>
          <w:rFonts w:ascii="Calibri" w:cs="Calibri" w:eastAsia="Calibri" w:hAnsi="Calibri"/>
          <w:b/>
          <w:bCs/>
          <w:color w:val="0A0A0A"/>
          <w:sz w:val="32"/>
          <w:szCs w:val="32"/>
        </w:rPr>
        <w:t xml:space="preserve">7. Representations and warranties</w:t>
      </w:r>
    </w:p>
    <w:p>
      <w:pPr>
        <w:spacing w:after="140" w:before="0" w:line="300"/>
        <w:jc w:val="left"/>
      </w:pPr>
      <w:r>
        <w:rPr>
          <w:rFonts w:ascii="Calibri" w:cs="Calibri" w:eastAsia="Calibri" w:hAnsi="Calibri"/>
          <w:b w:val="false"/>
          <w:bCs w:val="false"/>
          <w:i w:val="false"/>
          <w:iCs w:val="false"/>
          <w:color w:val="0A0A0A"/>
          <w:sz w:val="22"/>
          <w:szCs w:val="22"/>
        </w:rPr>
        <w:t xml:space="preserve">Each party represents to the other that:</w:t>
      </w:r>
    </w:p>
    <w:p>
      <w:pPr>
        <w:pStyle w:val="ListParagraph"/>
        <w:numPr>
          <w:ilvl w:val="0"/>
          <w:numId w:val="2"/>
        </w:numPr>
        <w:spacing w:after="80" w:line="280"/>
      </w:pPr>
      <w:r>
        <w:rPr>
          <w:rFonts w:ascii="Calibri" w:cs="Calibri" w:eastAsia="Calibri" w:hAnsi="Calibri"/>
          <w:color w:val="0A0A0A"/>
          <w:sz w:val="22"/>
          <w:szCs w:val="22"/>
        </w:rPr>
        <w:t xml:space="preserve">It has the corporate power and authority to enter into the contemplated Sponsorship Agreement.</w:t>
      </w:r>
    </w:p>
    <w:p>
      <w:pPr>
        <w:pStyle w:val="ListParagraph"/>
        <w:numPr>
          <w:ilvl w:val="0"/>
          <w:numId w:val="2"/>
        </w:numPr>
        <w:spacing w:after="80" w:line="280"/>
      </w:pPr>
      <w:r>
        <w:rPr>
          <w:rFonts w:ascii="Calibri" w:cs="Calibri" w:eastAsia="Calibri" w:hAnsi="Calibri"/>
          <w:color w:val="0A0A0A"/>
          <w:sz w:val="22"/>
          <w:szCs w:val="22"/>
        </w:rPr>
        <w:t xml:space="preserve">The entering into and performance of the agreement will not breach any existing contract or law.</w:t>
      </w:r>
    </w:p>
    <w:p>
      <w:pPr>
        <w:pStyle w:val="ListParagraph"/>
        <w:numPr>
          <w:ilvl w:val="0"/>
          <w:numId w:val="2"/>
        </w:numPr>
        <w:spacing w:after="80" w:line="280"/>
      </w:pPr>
      <w:r>
        <w:rPr>
          <w:rFonts w:ascii="Calibri" w:cs="Calibri" w:eastAsia="Calibri" w:hAnsi="Calibri"/>
          <w:color w:val="0A0A0A"/>
          <w:sz w:val="22"/>
          <w:szCs w:val="22"/>
        </w:rPr>
        <w:t xml:space="preserve">It has no conflicts of interest that have not been disclosed to the other party.</w:t>
      </w:r>
    </w:p>
    <w:p>
      <w:pPr>
        <w:spacing w:after="140" w:before="160" w:line="300"/>
        <w:jc w:val="left"/>
      </w:pPr>
      <w:r>
        <w:rPr>
          <w:rFonts w:ascii="Calibri" w:cs="Calibri" w:eastAsia="Calibri" w:hAnsi="Calibri"/>
          <w:b w:val="false"/>
          <w:bCs w:val="false"/>
          <w:i w:val="false"/>
          <w:iCs w:val="false"/>
          <w:color w:val="0A0A0A"/>
          <w:sz w:val="22"/>
          <w:szCs w:val="22"/>
        </w:rPr>
        <w:t xml:space="preserve">ADW specifically represents that:</w:t>
      </w:r>
    </w:p>
    <w:p>
      <w:pPr>
        <w:pStyle w:val="ListParagraph"/>
        <w:numPr>
          <w:ilvl w:val="0"/>
          <w:numId w:val="2"/>
        </w:numPr>
        <w:spacing w:after="80" w:line="280"/>
      </w:pPr>
      <w:r>
        <w:rPr>
          <w:rFonts w:ascii="Calibri" w:cs="Calibri" w:eastAsia="Calibri" w:hAnsi="Calibri"/>
          <w:color w:val="0A0A0A"/>
          <w:sz w:val="22"/>
          <w:szCs w:val="22"/>
        </w:rPr>
        <w:t xml:space="preserve">The operating entity (ADW (Pty) Ltd) will be properly incorporated, registered and capable of contracting before the binding Sponsorship Agreement is signed.</w:t>
      </w:r>
    </w:p>
    <w:p>
      <w:pPr>
        <w:pStyle w:val="ListParagraph"/>
        <w:numPr>
          <w:ilvl w:val="0"/>
          <w:numId w:val="2"/>
        </w:numPr>
        <w:spacing w:after="80" w:line="280"/>
      </w:pPr>
      <w:r>
        <w:rPr>
          <w:rFonts w:ascii="Calibri" w:cs="Calibri" w:eastAsia="Calibri" w:hAnsi="Calibri"/>
          <w:color w:val="0A0A0A"/>
          <w:sz w:val="22"/>
          <w:szCs w:val="22"/>
        </w:rPr>
        <w:t xml:space="preserve">ADW holds or will hold all necessary rights, permits, licences and approvals to produce the Event.</w:t>
      </w:r>
    </w:p>
    <w:p>
      <w:pPr>
        <w:pStyle w:val="ListParagraph"/>
        <w:numPr>
          <w:ilvl w:val="0"/>
          <w:numId w:val="2"/>
        </w:numPr>
        <w:spacing w:after="80" w:line="280"/>
      </w:pPr>
      <w:r>
        <w:rPr>
          <w:rFonts w:ascii="Calibri" w:cs="Calibri" w:eastAsia="Calibri" w:hAnsi="Calibri"/>
          <w:color w:val="0A0A0A"/>
          <w:sz w:val="22"/>
          <w:szCs w:val="22"/>
        </w:rPr>
        <w:t xml:space="preserve">ADW is not party to any existing commitment that conflicts with Heineken's rights under this agreement.</w:t>
      </w:r>
    </w:p>
    <w:p>
      <w:pPr>
        <w:pStyle w:val="Heading1"/>
        <w:spacing w:after="180" w:before="360"/>
      </w:pPr>
      <w:r>
        <w:rPr>
          <w:rFonts w:ascii="Calibri" w:cs="Calibri" w:eastAsia="Calibri" w:hAnsi="Calibri"/>
          <w:b/>
          <w:bCs/>
          <w:color w:val="0A0A0A"/>
          <w:sz w:val="32"/>
          <w:szCs w:val="32"/>
        </w:rPr>
        <w:t xml:space="preserve">8. Termination and force majeure</w:t>
      </w:r>
    </w:p>
    <w:p>
      <w:pPr>
        <w:pStyle w:val="Heading2"/>
        <w:spacing w:after="120" w:before="280"/>
      </w:pPr>
      <w:r>
        <w:rPr>
          <w:rFonts w:ascii="Calibri" w:cs="Calibri" w:eastAsia="Calibri" w:hAnsi="Calibri"/>
          <w:b/>
          <w:bCs/>
          <w:color w:val="E11D2E"/>
          <w:sz w:val="24"/>
          <w:szCs w:val="24"/>
        </w:rPr>
        <w:t xml:space="preserve">8.1 Termination by Heineken</w:t>
      </w:r>
    </w:p>
    <w:p>
      <w:pPr>
        <w:spacing w:after="140" w:before="0" w:line="300"/>
        <w:jc w:val="left"/>
      </w:pPr>
      <w:r>
        <w:rPr>
          <w:rFonts w:ascii="Calibri" w:cs="Calibri" w:eastAsia="Calibri" w:hAnsi="Calibri"/>
          <w:b w:val="false"/>
          <w:bCs w:val="false"/>
          <w:i w:val="false"/>
          <w:iCs w:val="false"/>
          <w:color w:val="0A0A0A"/>
          <w:sz w:val="22"/>
          <w:szCs w:val="22"/>
        </w:rPr>
        <w:t xml:space="preserve">Heineken may terminate the Sponsorship Agreement with immediate effect if:</w:t>
      </w:r>
    </w:p>
    <w:p>
      <w:pPr>
        <w:pStyle w:val="ListParagraph"/>
        <w:numPr>
          <w:ilvl w:val="0"/>
          <w:numId w:val="2"/>
        </w:numPr>
        <w:spacing w:after="80" w:line="280"/>
      </w:pPr>
      <w:r>
        <w:rPr>
          <w:rFonts w:ascii="Calibri" w:cs="Calibri" w:eastAsia="Calibri" w:hAnsi="Calibri"/>
          <w:color w:val="0A0A0A"/>
          <w:sz w:val="22"/>
          <w:szCs w:val="22"/>
        </w:rPr>
        <w:t xml:space="preserve">ADW materially breaches any warranty or commitment and fails to remedy within 14 days of written notice.</w:t>
      </w:r>
    </w:p>
    <w:p>
      <w:pPr>
        <w:pStyle w:val="ListParagraph"/>
        <w:numPr>
          <w:ilvl w:val="0"/>
          <w:numId w:val="2"/>
        </w:numPr>
        <w:spacing w:after="80" w:line="280"/>
      </w:pPr>
      <w:r>
        <w:rPr>
          <w:rFonts w:ascii="Calibri" w:cs="Calibri" w:eastAsia="Calibri" w:hAnsi="Calibri"/>
          <w:color w:val="0A0A0A"/>
          <w:sz w:val="22"/>
          <w:szCs w:val="22"/>
        </w:rPr>
        <w:t xml:space="preserve">ADW becomes insolvent, enters business rescue, or is wound up.</w:t>
      </w:r>
    </w:p>
    <w:p>
      <w:pPr>
        <w:pStyle w:val="ListParagraph"/>
        <w:numPr>
          <w:ilvl w:val="0"/>
          <w:numId w:val="2"/>
        </w:numPr>
        <w:spacing w:after="80" w:line="280"/>
      </w:pPr>
      <w:r>
        <w:rPr>
          <w:rFonts w:ascii="Calibri" w:cs="Calibri" w:eastAsia="Calibri" w:hAnsi="Calibri"/>
          <w:color w:val="0A0A0A"/>
          <w:sz w:val="22"/>
          <w:szCs w:val="22"/>
        </w:rPr>
        <w:t xml:space="preserve">Any ADW-associated person or entity brings the Heineken brand into serious disrepute.</w:t>
      </w:r>
    </w:p>
    <w:p>
      <w:pPr>
        <w:pStyle w:val="ListParagraph"/>
        <w:numPr>
          <w:ilvl w:val="0"/>
          <w:numId w:val="2"/>
        </w:numPr>
        <w:spacing w:after="80" w:line="280"/>
      </w:pPr>
      <w:r>
        <w:rPr>
          <w:rFonts w:ascii="Calibri" w:cs="Calibri" w:eastAsia="Calibri" w:hAnsi="Calibri"/>
          <w:color w:val="0A0A0A"/>
          <w:sz w:val="22"/>
          <w:szCs w:val="22"/>
        </w:rPr>
        <w:t xml:space="preserve">The Event is cancelled and not rescheduled within 12 months (save where insurance provides equivalent remedy).</w:t>
      </w:r>
    </w:p>
    <w:p>
      <w:pPr>
        <w:pStyle w:val="Heading2"/>
        <w:spacing w:after="120" w:before="280"/>
      </w:pPr>
      <w:r>
        <w:rPr>
          <w:rFonts w:ascii="Calibri" w:cs="Calibri" w:eastAsia="Calibri" w:hAnsi="Calibri"/>
          <w:b/>
          <w:bCs/>
          <w:color w:val="E11D2E"/>
          <w:sz w:val="24"/>
          <w:szCs w:val="24"/>
        </w:rPr>
        <w:t xml:space="preserve">8.2 Termination by ADW</w:t>
      </w:r>
    </w:p>
    <w:p>
      <w:pPr>
        <w:spacing w:after="140" w:before="0" w:line="300"/>
        <w:jc w:val="left"/>
      </w:pPr>
      <w:r>
        <w:rPr>
          <w:rFonts w:ascii="Calibri" w:cs="Calibri" w:eastAsia="Calibri" w:hAnsi="Calibri"/>
          <w:b w:val="false"/>
          <w:bCs w:val="false"/>
          <w:i w:val="false"/>
          <w:iCs w:val="false"/>
          <w:color w:val="0A0A0A"/>
          <w:sz w:val="22"/>
          <w:szCs w:val="22"/>
        </w:rPr>
        <w:t xml:space="preserve">ADW may terminate the Sponsorship Agreement if Heineken materially breaches its payment obligations and fails to remedy within 14 days of written notice.</w:t>
      </w:r>
    </w:p>
    <w:p>
      <w:pPr>
        <w:pStyle w:val="Heading2"/>
        <w:spacing w:after="120" w:before="280"/>
      </w:pPr>
      <w:r>
        <w:rPr>
          <w:rFonts w:ascii="Calibri" w:cs="Calibri" w:eastAsia="Calibri" w:hAnsi="Calibri"/>
          <w:b/>
          <w:bCs/>
          <w:color w:val="E11D2E"/>
          <w:sz w:val="24"/>
          <w:szCs w:val="24"/>
        </w:rPr>
        <w:t xml:space="preserve">8.3 Force majeure</w:t>
      </w:r>
    </w:p>
    <w:p>
      <w:pPr>
        <w:spacing w:after="140" w:before="0" w:line="300"/>
        <w:jc w:val="left"/>
      </w:pPr>
      <w:r>
        <w:rPr>
          <w:rFonts w:ascii="Calibri" w:cs="Calibri" w:eastAsia="Calibri" w:hAnsi="Calibri"/>
          <w:b w:val="false"/>
          <w:bCs w:val="false"/>
          <w:i w:val="false"/>
          <w:iCs w:val="false"/>
          <w:color w:val="0A0A0A"/>
          <w:sz w:val="22"/>
          <w:szCs w:val="22"/>
        </w:rPr>
        <w:t xml:space="preserve">The Sponsorship Agreement shall include standard force majeure provisions covering pandemic, natural disaster, civil unrest, regulatory prohibition and terrorism, with each party bearing its own costs and a pro-rata refund provision on Event cancellation.</w:t>
      </w:r>
    </w:p>
    <w:p>
      <w:pPr>
        <w:pStyle w:val="Heading1"/>
        <w:spacing w:after="180" w:before="360"/>
      </w:pPr>
      <w:r>
        <w:rPr>
          <w:rFonts w:ascii="Calibri" w:cs="Calibri" w:eastAsia="Calibri" w:hAnsi="Calibri"/>
          <w:b/>
          <w:bCs/>
          <w:color w:val="0A0A0A"/>
          <w:sz w:val="32"/>
          <w:szCs w:val="32"/>
        </w:rPr>
        <w:t xml:space="preserve">9. Exclusivity of negotiation (binding)</w:t>
      </w:r>
    </w:p>
    <w:p>
      <w:pPr>
        <w:spacing w:after="140" w:before="0" w:line="300"/>
        <w:jc w:val="left"/>
      </w:pPr>
      <w:r>
        <w:rPr>
          <w:rFonts w:ascii="Calibri" w:cs="Calibri" w:eastAsia="Calibri" w:hAnsi="Calibri"/>
          <w:b w:val="false"/>
          <w:bCs w:val="false"/>
          <w:i w:val="false"/>
          <w:iCs w:val="false"/>
          <w:color w:val="0A0A0A"/>
          <w:sz w:val="22"/>
          <w:szCs w:val="22"/>
        </w:rPr>
        <w:t xml:space="preserve">Between the date of signature of this term sheet and the earlier of (i) execution of a binding Sponsorship Agreement or (ii) 31 May 2026, ADW shall not negotiate with or offer a main-partner position to any other counterparty, whether in the beer, cider, low-alcohol beverage or combined alcoholic-beverage category. This provision is expressly stated to be binding.</w:t>
      </w:r>
    </w:p>
    <w:p>
      <w:pPr>
        <w:pStyle w:val="Heading1"/>
        <w:spacing w:after="180" w:before="360"/>
      </w:pPr>
      <w:r>
        <w:rPr>
          <w:rFonts w:ascii="Calibri" w:cs="Calibri" w:eastAsia="Calibri" w:hAnsi="Calibri"/>
          <w:b/>
          <w:bCs/>
          <w:color w:val="0A0A0A"/>
          <w:sz w:val="32"/>
          <w:szCs w:val="32"/>
        </w:rPr>
        <w:t xml:space="preserve">10. Confidentiality (binding)</w:t>
      </w:r>
    </w:p>
    <w:p>
      <w:pPr>
        <w:spacing w:after="140" w:before="0" w:line="300"/>
        <w:jc w:val="left"/>
      </w:pPr>
      <w:r>
        <w:rPr>
          <w:rFonts w:ascii="Calibri" w:cs="Calibri" w:eastAsia="Calibri" w:hAnsi="Calibri"/>
          <w:b w:val="false"/>
          <w:bCs w:val="false"/>
          <w:i w:val="false"/>
          <w:iCs w:val="false"/>
          <w:color w:val="0A0A0A"/>
          <w:sz w:val="22"/>
          <w:szCs w:val="22"/>
        </w:rPr>
        <w:t xml:space="preserve">Each party shall keep the terms of this term sheet, and the fact of these negotiations, confidential, save for disclosure to legal, financial and tax advisors on a need-to-know basis, or as required by law or regulation. This provision is expressly stated to be binding and survives termination or non-conclusion of the agreement.</w:t>
      </w:r>
    </w:p>
    <w:p>
      <w:pPr>
        <w:pStyle w:val="Heading1"/>
        <w:spacing w:after="180" w:before="360"/>
      </w:pPr>
      <w:r>
        <w:rPr>
          <w:rFonts w:ascii="Calibri" w:cs="Calibri" w:eastAsia="Calibri" w:hAnsi="Calibri"/>
          <w:b/>
          <w:bCs/>
          <w:color w:val="0A0A0A"/>
          <w:sz w:val="32"/>
          <w:szCs w:val="32"/>
        </w:rPr>
        <w:t xml:space="preserve">11. Governing law and dispute resolution (binding)</w:t>
      </w:r>
    </w:p>
    <w:p>
      <w:pPr>
        <w:spacing w:after="140" w:before="0" w:line="300"/>
        <w:jc w:val="left"/>
      </w:pPr>
      <w:r>
        <w:rPr>
          <w:rFonts w:ascii="Calibri" w:cs="Calibri" w:eastAsia="Calibri" w:hAnsi="Calibri"/>
          <w:b w:val="false"/>
          <w:bCs w:val="false"/>
          <w:i w:val="false"/>
          <w:iCs w:val="false"/>
          <w:color w:val="0A0A0A"/>
          <w:sz w:val="22"/>
          <w:szCs w:val="22"/>
        </w:rPr>
        <w:t xml:space="preserve">This term sheet and the contemplated Sponsorship Agreement shall be governed by and construed in accordance with the laws of the Republic of South Africa. Any dispute arising shall be referred to arbitration under the AFSA Expedited Rules in Johannesburg, English language, single arbitrator.</w:t>
      </w:r>
    </w:p>
    <w:p>
      <w:pPr>
        <w:pStyle w:val="Heading1"/>
        <w:spacing w:after="180" w:before="360"/>
      </w:pPr>
      <w:r>
        <w:rPr>
          <w:rFonts w:ascii="Calibri" w:cs="Calibri" w:eastAsia="Calibri" w:hAnsi="Calibri"/>
          <w:b/>
          <w:bCs/>
          <w:color w:val="0A0A0A"/>
          <w:sz w:val="32"/>
          <w:szCs w:val="32"/>
        </w:rPr>
        <w:t xml:space="preserve">12. Costs (binding)</w:t>
      </w:r>
    </w:p>
    <w:p>
      <w:pPr>
        <w:spacing w:after="140" w:before="0" w:line="300"/>
        <w:jc w:val="left"/>
      </w:pPr>
      <w:r>
        <w:rPr>
          <w:rFonts w:ascii="Calibri" w:cs="Calibri" w:eastAsia="Calibri" w:hAnsi="Calibri"/>
          <w:b w:val="false"/>
          <w:bCs w:val="false"/>
          <w:i w:val="false"/>
          <w:iCs w:val="false"/>
          <w:color w:val="0A0A0A"/>
          <w:sz w:val="22"/>
          <w:szCs w:val="22"/>
        </w:rPr>
        <w:t xml:space="preserve">Each party shall bear its own costs of negotiation and preparation of this term sheet and the Sponsorship Agreement.</w:t>
      </w:r>
    </w:p>
    <w:p>
      <w:pPr>
        <w:pStyle w:val="Heading1"/>
        <w:spacing w:after="180" w:before="360"/>
      </w:pPr>
      <w:r>
        <w:rPr>
          <w:rFonts w:ascii="Calibri" w:cs="Calibri" w:eastAsia="Calibri" w:hAnsi="Calibri"/>
          <w:b/>
          <w:bCs/>
          <w:color w:val="0A0A0A"/>
          <w:sz w:val="32"/>
          <w:szCs w:val="32"/>
        </w:rPr>
        <w:t xml:space="preserve">13. Next steps</w:t>
      </w:r>
    </w:p>
    <w:p>
      <w:pPr>
        <w:pStyle w:val="ListParagraph"/>
        <w:numPr>
          <w:ilvl w:val="0"/>
          <w:numId w:val="2"/>
        </w:numPr>
        <w:spacing w:after="80" w:line="280"/>
      </w:pPr>
      <w:r>
        <w:rPr>
          <w:rFonts w:ascii="Calibri" w:cs="Calibri" w:eastAsia="Calibri" w:hAnsi="Calibri"/>
          <w:color w:val="0A0A0A"/>
          <w:sz w:val="22"/>
          <w:szCs w:val="22"/>
        </w:rPr>
        <w:t xml:space="preserve">Heineken to confirm receipt and engage on terms — target: within 14 days of receipt.</w:t>
      </w:r>
    </w:p>
    <w:p>
      <w:pPr>
        <w:pStyle w:val="ListParagraph"/>
        <w:numPr>
          <w:ilvl w:val="0"/>
          <w:numId w:val="2"/>
        </w:numPr>
        <w:spacing w:after="80" w:line="280"/>
      </w:pPr>
      <w:r>
        <w:rPr>
          <w:rFonts w:ascii="Calibri" w:cs="Calibri" w:eastAsia="Calibri" w:hAnsi="Calibri"/>
          <w:color w:val="0A0A0A"/>
          <w:sz w:val="22"/>
          <w:szCs w:val="22"/>
        </w:rPr>
        <w:t xml:space="preserve">Joint working session (Heineken SA + Heineken NL + ADW team) — target: within 30 days of receipt.</w:t>
      </w:r>
    </w:p>
    <w:p>
      <w:pPr>
        <w:pStyle w:val="ListParagraph"/>
        <w:numPr>
          <w:ilvl w:val="0"/>
          <w:numId w:val="2"/>
        </w:numPr>
        <w:spacing w:after="80" w:line="280"/>
      </w:pPr>
      <w:r>
        <w:rPr>
          <w:rFonts w:ascii="Calibri" w:cs="Calibri" w:eastAsia="Calibri" w:hAnsi="Calibri"/>
          <w:color w:val="0A0A0A"/>
          <w:sz w:val="22"/>
          <w:szCs w:val="22"/>
        </w:rPr>
        <w:t xml:space="preserve">Revised term sheet or direct to Sponsorship Agreement drafting — target: end May 2026.</w:t>
      </w:r>
    </w:p>
    <w:p>
      <w:pPr>
        <w:pStyle w:val="ListParagraph"/>
        <w:numPr>
          <w:ilvl w:val="0"/>
          <w:numId w:val="2"/>
        </w:numPr>
        <w:spacing w:after="80" w:line="280"/>
      </w:pPr>
      <w:r>
        <w:rPr>
          <w:rFonts w:ascii="Calibri" w:cs="Calibri" w:eastAsia="Calibri" w:hAnsi="Calibri"/>
          <w:color w:val="0A0A0A"/>
          <w:sz w:val="22"/>
          <w:szCs w:val="22"/>
        </w:rPr>
        <w:t xml:space="preserve">Signature of binding Sponsorship Agreement — target: end May / early June 2026.</w:t>
      </w:r>
    </w:p>
    <w:p>
      <w:pPr>
        <w:pStyle w:val="ListParagraph"/>
        <w:numPr>
          <w:ilvl w:val="0"/>
          <w:numId w:val="2"/>
        </w:numPr>
        <w:spacing w:after="80" w:line="280"/>
      </w:pPr>
      <w:r>
        <w:rPr>
          <w:rFonts w:ascii="Calibri" w:cs="Calibri" w:eastAsia="Calibri" w:hAnsi="Calibri"/>
          <w:color w:val="0A0A0A"/>
          <w:sz w:val="22"/>
          <w:szCs w:val="22"/>
        </w:rPr>
        <w:t xml:space="preserve">Public announcement of partnership — target: ADW public launch, June 2026.</w:t>
      </w:r>
    </w:p>
    <w:p>
      <w:r>
        <w:br w:type="page"/>
      </w:r>
    </w:p>
    <w:p>
      <w:pPr>
        <w:pStyle w:val="Heading1"/>
        <w:spacing w:after="180" w:before="360"/>
      </w:pPr>
      <w:r>
        <w:rPr>
          <w:rFonts w:ascii="Calibri" w:cs="Calibri" w:eastAsia="Calibri" w:hAnsi="Calibri"/>
          <w:b/>
          <w:bCs/>
          <w:color w:val="0A0A0A"/>
          <w:sz w:val="32"/>
          <w:szCs w:val="32"/>
        </w:rPr>
        <w:t xml:space="preserve">Signature block</w:t>
      </w:r>
    </w:p>
    <w:p>
      <w:pPr>
        <w:spacing w:after="140" w:before="0" w:line="300"/>
        <w:jc w:val="left"/>
      </w:pPr>
      <w:r>
        <w:rPr>
          <w:rFonts w:ascii="Calibri" w:cs="Calibri" w:eastAsia="Calibri" w:hAnsi="Calibri"/>
          <w:b w:val="false"/>
          <w:bCs w:val="false"/>
          <w:i w:val="false"/>
          <w:iCs w:val="false"/>
          <w:color w:val="0A0A0A"/>
          <w:sz w:val="22"/>
          <w:szCs w:val="22"/>
        </w:rPr>
        <w:t xml:space="preserve">This term sheet is acknowledged and accepted in principle by the parties on the dates set out below. Binding provisions take effect from the later signature date; all other provisions remain indicative until execution of a binding Sponsorship Agreement.</w:t>
      </w:r>
    </w:p>
    <w:p>
      <w:pPr>
        <w:spacing w:after="140" w:before="0" w:line="300"/>
        <w:jc w:val="left"/>
      </w:pPr>
      <w:r>
        <w:rPr>
          <w:rFonts w:ascii="Calibri" w:cs="Calibri" w:eastAsia="Calibri" w:hAnsi="Calibri"/>
          <w:b w:val="false"/>
          <w:bCs w:val="false"/>
          <w:i w:val="false"/>
          <w:iCs w:val="false"/>
          <w:color w:val="0A0A0A"/>
          <w:sz w:val="22"/>
          <w:szCs w:val="22"/>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5D5D5" w:sz="4"/>
              <w:left w:val="single" w:color="D5D5D5" w:sz="4"/>
              <w:bottom w:val="single" w:color="D5D5D5" w:sz="4"/>
              <w:right w:val="single" w:color="D5D5D5"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0A0A0A"/>
                <w:sz w:val="18"/>
                <w:szCs w:val="18"/>
              </w:rPr>
              <w:t xml:space="preserve">FOR AND ON BEHALF OF:</w:t>
            </w:r>
          </w:p>
        </w:tc>
        <w:tc>
          <w:tcPr>
            <w:tcW w:type="dxa" w:w="4680"/>
            <w:tcBorders>
              <w:top w:val="single" w:color="D5D5D5" w:sz="4"/>
              <w:left w:val="single" w:color="D5D5D5" w:sz="4"/>
              <w:bottom w:val="single" w:color="D5D5D5" w:sz="4"/>
              <w:right w:val="single" w:color="D5D5D5" w:sz="4"/>
            </w:tcBorders>
            <w:shd w:fill="F3F3F3" w:val="clear"/>
            <w:tcMar>
              <w:top w:type="dxa" w:w="100"/>
              <w:left w:type="dxa" w:w="140"/>
              <w:bottom w:type="dxa" w:w="100"/>
              <w:right w:type="dxa" w:w="140"/>
            </w:tcMar>
          </w:tcPr>
          <w:p>
            <w:pPr>
              <w:spacing w:after="0" w:line="260"/>
              <w:jc w:val="left"/>
            </w:pPr>
            <w:r>
              <w:rPr>
                <w:rFonts w:ascii="Calibri" w:cs="Calibri" w:eastAsia="Calibri" w:hAnsi="Calibri"/>
                <w:b/>
                <w:bCs/>
                <w:color w:val="0A0A0A"/>
                <w:sz w:val="18"/>
                <w:szCs w:val="18"/>
              </w:rPr>
              <w:t xml:space="preserve">FOR AND ON BEHALF OF:</w:t>
            </w:r>
          </w:p>
        </w:tc>
      </w:tr>
      <w:tr>
        <w:tc>
          <w:tcPr>
            <w:tcW w:type="dxa" w:w="4680"/>
            <w:tcBorders>
              <w:top w:val="single" w:color="D5D5D5" w:sz="4"/>
              <w:left w:val="single" w:color="D5D5D5" w:sz="4"/>
              <w:bottom w:val="single" w:color="D5D5D5" w:sz="4"/>
              <w:right w:val="single" w:color="D5D5D5" w:sz="4"/>
            </w:tcBorders>
            <w:tcMar>
              <w:top w:type="dxa" w:w="100"/>
              <w:left w:type="dxa" w:w="140"/>
              <w:bottom w:type="dxa" w:w="100"/>
              <w:right w:type="dxa" w:w="140"/>
            </w:tcMar>
          </w:tcPr>
          <w:p>
            <w:pPr>
              <w:spacing w:after="0" w:line="260"/>
              <w:jc w:val="left"/>
            </w:pPr>
            <w:r>
              <w:rPr>
                <w:rFonts w:ascii="Calibri" w:cs="Calibri" w:eastAsia="Calibri" w:hAnsi="Calibri"/>
                <w:b/>
                <w:bCs/>
                <w:color w:val="0A0A0A"/>
                <w:sz w:val="20"/>
                <w:szCs w:val="20"/>
              </w:rPr>
              <w:t xml:space="preserve">HEINEKEN BEVERAGES SOUTH AFRICA (PTY) LTD</w:t>
            </w:r>
          </w:p>
        </w:tc>
        <w:tc>
          <w:tcPr>
            <w:tcW w:type="dxa" w:w="4680"/>
            <w:tcBorders>
              <w:top w:val="single" w:color="D5D5D5" w:sz="4"/>
              <w:left w:val="single" w:color="D5D5D5" w:sz="4"/>
              <w:bottom w:val="single" w:color="D5D5D5" w:sz="4"/>
              <w:right w:val="single" w:color="D5D5D5" w:sz="4"/>
            </w:tcBorders>
            <w:tcMar>
              <w:top w:type="dxa" w:w="100"/>
              <w:left w:type="dxa" w:w="140"/>
              <w:bottom w:type="dxa" w:w="100"/>
              <w:right w:type="dxa" w:w="140"/>
            </w:tcMar>
          </w:tcPr>
          <w:p>
            <w:pPr>
              <w:spacing w:after="0" w:line="260"/>
              <w:jc w:val="left"/>
            </w:pPr>
            <w:r>
              <w:rPr>
                <w:rFonts w:ascii="Calibri" w:cs="Calibri" w:eastAsia="Calibri" w:hAnsi="Calibri"/>
                <w:b/>
                <w:bCs/>
                <w:color w:val="0A0A0A"/>
                <w:sz w:val="20"/>
                <w:szCs w:val="20"/>
              </w:rPr>
              <w:t xml:space="preserve">AFRICA DANCE WEEK (PTY) LTD (i/i)</w:t>
            </w:r>
          </w:p>
        </w:tc>
      </w:tr>
      <w:tr>
        <w:tc>
          <w:tcPr>
            <w:tcW w:type="dxa" w:w="4680"/>
            <w:tcBorders>
              <w:top w:val="single" w:color="D5D5D5" w:sz="4"/>
              <w:left w:val="single" w:color="D5D5D5" w:sz="4"/>
              <w:bottom w:val="single" w:color="D5D5D5" w:sz="4"/>
              <w:right w:val="single" w:color="D5D5D5"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0A0A0A"/>
                <w:sz w:val="20"/>
                <w:szCs w:val="20"/>
              </w:rPr>
              <w:t xml:space="preserve"> 
Signature: _______________________________
Name: 
Designation: 
Date:</w:t>
            </w:r>
          </w:p>
        </w:tc>
        <w:tc>
          <w:tcPr>
            <w:tcW w:type="dxa" w:w="4680"/>
            <w:tcBorders>
              <w:top w:val="single" w:color="D5D5D5" w:sz="4"/>
              <w:left w:val="single" w:color="D5D5D5" w:sz="4"/>
              <w:bottom w:val="single" w:color="D5D5D5" w:sz="4"/>
              <w:right w:val="single" w:color="D5D5D5" w:sz="4"/>
            </w:tcBorders>
            <w:tcMar>
              <w:top w:type="dxa" w:w="100"/>
              <w:left w:type="dxa" w:w="140"/>
              <w:bottom w:type="dxa" w:w="100"/>
              <w:right w:type="dxa" w:w="140"/>
            </w:tcMar>
          </w:tcPr>
          <w:p>
            <w:pPr>
              <w:spacing w:after="0" w:line="260"/>
              <w:jc w:val="left"/>
            </w:pPr>
            <w:r>
              <w:rPr>
                <w:rFonts w:ascii="Calibri" w:cs="Calibri" w:eastAsia="Calibri" w:hAnsi="Calibri"/>
                <w:b w:val="false"/>
                <w:bCs w:val="false"/>
                <w:color w:val="0A0A0A"/>
                <w:sz w:val="20"/>
                <w:szCs w:val="20"/>
              </w:rPr>
              <w:t xml:space="preserve"> 
Signature: _______________________________
Name: Julian von Plato
Designation: Director
Date:</w:t>
            </w:r>
          </w:p>
        </w:tc>
      </w:tr>
    </w:tbl>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Calibri" w:cs="Calibri" w:eastAsia="Calibri" w:hAnsi="Calibri"/>
        <w:color w:val="6B6B6B"/>
        <w:sz w:val="16"/>
        <w:szCs w:val="16"/>
      </w:rPr>
      <w:t xml:space="preserve">Non-binding save where expressly stated  ·  Page </w:t>
    </w:r>
    <w:r>
      <w:rPr>
        <w:rFonts w:ascii="Calibri" w:cs="Calibri" w:eastAsia="Calibri" w:hAnsi="Calibri"/>
        <w:color w:val="6B6B6B"/>
        <w:sz w:val="16"/>
        <w:szCs w:val="16"/>
      </w:rPr>
      <w:fldChar w:fldCharType="begin"/>
      <w:instrText xml:space="preserve">PAGE</w:instrText>
      <w:fldChar w:fldCharType="separate"/>
      <w:fldChar w:fldCharType="end"/>
    </w:r>
    <w:r>
      <w:rPr>
        <w:rFonts w:ascii="Calibri" w:cs="Calibri" w:eastAsia="Calibri" w:hAnsi="Calibri"/>
        <w:color w:val="6B6B6B"/>
        <w:sz w:val="16"/>
        <w:szCs w:val="16"/>
      </w:rPr>
      <w:t xml:space="preserve"> of </w:t>
    </w:r>
    <w:r>
      <w:rPr>
        <w:rFonts w:ascii="Calibri" w:cs="Calibri" w:eastAsia="Calibri" w:hAnsi="Calibri"/>
        <w:color w:val="6B6B6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left"/>
    </w:pPr>
    <w:r>
      <w:rPr>
        <w:rFonts w:ascii="Calibri" w:cs="Calibri" w:eastAsia="Calibri" w:hAnsi="Calibri"/>
        <w:b/>
        <w:bCs/>
        <w:color w:val="E11D2E"/>
        <w:sz w:val="16"/>
        <w:szCs w:val="16"/>
      </w:rPr>
      <w:t xml:space="preserve">HEINEKEN × ADW  </w:t>
    </w:r>
    <w:r>
      <w:rPr>
        <w:rFonts w:ascii="Calibri" w:cs="Calibri" w:eastAsia="Calibri" w:hAnsi="Calibri"/>
        <w:color w:val="6B6B6B"/>
        <w:sz w:val="16"/>
        <w:szCs w:val="16"/>
      </w:rPr>
      <w:t xml:space="preserve">·  Main Partner Term Sheet  ·  Working Draft v1.0  ·  April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0A0A0A"/>
      <w:sz w:val="32"/>
      <w:szCs w:val="32"/>
    </w:rPr>
  </w:style>
  <w:style w:type="paragraph" w:styleId="Heading2">
    <w:name w:val="Heading 2"/>
    <w:basedOn w:val="Normal"/>
    <w:next w:val="Normal"/>
    <w:qFormat/>
    <w:pPr>
      <w:spacing w:after="120" w:before="280"/>
      <w:outlineLvl w:val="1"/>
    </w:pPr>
    <w:rPr>
      <w:rFonts w:ascii="Calibri" w:cs="Calibri" w:eastAsia="Calibri" w:hAnsi="Calibri"/>
      <w:b/>
      <w:bCs/>
      <w:color w:val="E11D2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fd4cfbe5f76d7342b7b16a64863c5d6a33a6bb9a.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 × Heineken — Main Partner Term Sheet</dc:title>
  <dc:creator>ADW / Rockets Media</dc:creator>
  <dc:description>Working draft term sheet for Main Partner position, ADW 2026</dc:description>
  <cp:lastModifiedBy>Un-named</cp:lastModifiedBy>
  <cp:revision>1</cp:revision>
  <dcterms:created xsi:type="dcterms:W3CDTF">2026-04-19T10:21:13.579Z</dcterms:created>
  <dcterms:modified xsi:type="dcterms:W3CDTF">2026-04-19T10:21:13.580Z</dcterms:modified>
</cp:coreProperties>
</file>

<file path=docProps/custom.xml><?xml version="1.0" encoding="utf-8"?>
<Properties xmlns="http://schemas.openxmlformats.org/officeDocument/2006/custom-properties" xmlns:vt="http://schemas.openxmlformats.org/officeDocument/2006/docPropsVTypes"/>
</file>