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0" w:before="1400"/>
      </w:pPr>
      <w:r>
        <w:drawing>
          <wp:inline distT="0" distB="0" distL="0" distR="0">
            <wp:extent cx="171450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714375"/>
                    </a:xfrm>
                    <a:prstGeom prst="rect">
                      <a:avLst/>
                    </a:prstGeom>
                  </pic:spPr>
                </pic:pic>
              </a:graphicData>
            </a:graphic>
          </wp:inline>
        </w:drawing>
      </w:r>
    </w:p>
    <w:p>
      <w:pPr>
        <w:spacing w:after="80"/>
        <w:jc w:val="left"/>
      </w:pPr>
      <w:r>
        <w:rPr>
          <w:rFonts w:ascii="Calibri" w:cs="Calibri" w:eastAsia="Calibri" w:hAnsi="Calibri"/>
          <w:b/>
          <w:bCs/>
          <w:color w:val="E11D2E"/>
          <w:sz w:val="24"/>
          <w:szCs w:val="24"/>
        </w:rPr>
        <w:t xml:space="preserve">AFRICA DANCE WEEK</w:t>
      </w:r>
    </w:p>
    <w:p>
      <w:pPr>
        <w:spacing w:after="480"/>
        <w:jc w:val="left"/>
      </w:pPr>
      <w:r>
        <w:rPr>
          <w:rFonts w:ascii="Calibri" w:cs="Calibri" w:eastAsia="Calibri" w:hAnsi="Calibri"/>
          <w:color w:val="6B6B6B"/>
          <w:sz w:val="18"/>
          <w:szCs w:val="18"/>
        </w:rPr>
        <w:t xml:space="preserve">STRATEGIC BLUEPRINT — APRIL 2026</w:t>
      </w:r>
    </w:p>
    <w:p>
      <w:pPr>
        <w:spacing w:after="160"/>
        <w:jc w:val="left"/>
      </w:pPr>
      <w:r>
        <w:rPr>
          <w:rFonts w:ascii="Calibri" w:cs="Calibri" w:eastAsia="Calibri" w:hAnsi="Calibri"/>
          <w:b/>
          <w:bCs/>
          <w:color w:val="1A1A1A"/>
          <w:sz w:val="60"/>
          <w:szCs w:val="60"/>
        </w:rPr>
        <w:t xml:space="preserve">Bringing the ADE Experience</w:t>
      </w:r>
    </w:p>
    <w:p>
      <w:pPr>
        <w:spacing w:after="480"/>
        <w:jc w:val="left"/>
      </w:pPr>
      <w:r>
        <w:rPr>
          <w:rFonts w:ascii="Calibri" w:cs="Calibri" w:eastAsia="Calibri" w:hAnsi="Calibri"/>
          <w:b/>
          <w:bCs/>
          <w:color w:val="1A1A1A"/>
          <w:sz w:val="60"/>
          <w:szCs w:val="60"/>
        </w:rPr>
        <w:t xml:space="preserve">to South Africa.</w:t>
      </w:r>
    </w:p>
    <w:p>
      <w:pPr>
        <w:spacing w:after="120"/>
        <w:jc w:val="left"/>
      </w:pPr>
      <w:r>
        <w:rPr>
          <w:rFonts w:ascii="Calibri" w:cs="Calibri" w:eastAsia="Calibri" w:hAnsi="Calibri"/>
          <w:i/>
          <w:iCs/>
          <w:color w:val="1A1A1A"/>
          <w:sz w:val="26"/>
          <w:szCs w:val="26"/>
        </w:rPr>
        <w:t xml:space="preserve">Programme mirror, three-year phased build,</w:t>
      </w:r>
    </w:p>
    <w:p>
      <w:pPr>
        <w:spacing w:after="2400"/>
        <w:jc w:val="left"/>
      </w:pPr>
      <w:r>
        <w:rPr>
          <w:rFonts w:ascii="Calibri" w:cs="Calibri" w:eastAsia="Calibri" w:hAnsi="Calibri"/>
          <w:i/>
          <w:iCs/>
          <w:color w:val="1A1A1A"/>
          <w:sz w:val="26"/>
          <w:szCs w:val="26"/>
        </w:rPr>
        <w:t xml:space="preserve">budget envelopes, and local industry empowerment.</w:t>
      </w:r>
    </w:p>
    <w:p>
      <w:pPr>
        <w:pBdr>
          <w:top w:val="single" w:color="E11D2E" w:sz="6" w:space="1"/>
        </w:pBdr>
        <w:spacing w:after="120" w:before="0"/>
      </w:pPr>
      <w:r>
        <w:t xml:space="preserve"/>
      </w:r>
    </w:p>
    <w:p>
      <w:pPr>
        <w:spacing w:after="140" w:before="0" w:line="300"/>
        <w:jc w:val="left"/>
      </w:pPr>
      <w:r>
        <w:rPr>
          <w:rFonts w:ascii="Calibri" w:cs="Calibri" w:eastAsia="Calibri" w:hAnsi="Calibri"/>
          <w:b w:val="false"/>
          <w:bCs w:val="false"/>
          <w:i w:val="false"/>
          <w:iCs w:val="false"/>
          <w:color w:val="6B6B6B"/>
          <w:sz w:val="20"/>
          <w:szCs w:val="20"/>
        </w:rPr>
        <w:t xml:space="preserve">Prepared by: </w:t>
      </w:r>
      <w:r>
        <w:rPr>
          <w:rFonts w:ascii="Calibri" w:cs="Calibri" w:eastAsia="Calibri" w:hAnsi="Calibri"/>
          <w:b/>
          <w:bCs/>
          <w:i w:val="false"/>
          <w:iCs w:val="false"/>
          <w:color w:val="1A1A1A"/>
          <w:sz w:val="20"/>
          <w:szCs w:val="20"/>
        </w:rPr>
        <w:t xml:space="preserve">Rockets Media / DanceAfrika / DiscovrTV</w:t>
      </w:r>
    </w:p>
    <w:p>
      <w:pPr>
        <w:spacing w:after="140" w:before="0" w:line="300"/>
        <w:jc w:val="left"/>
      </w:pPr>
      <w:r>
        <w:rPr>
          <w:rFonts w:ascii="Calibri" w:cs="Calibri" w:eastAsia="Calibri" w:hAnsi="Calibri"/>
          <w:b w:val="false"/>
          <w:bCs w:val="false"/>
          <w:i w:val="false"/>
          <w:iCs w:val="false"/>
          <w:color w:val="6B6B6B"/>
          <w:sz w:val="20"/>
          <w:szCs w:val="20"/>
        </w:rPr>
        <w:t xml:space="preserve">Intended readers: </w:t>
      </w:r>
      <w:r>
        <w:rPr>
          <w:rFonts w:ascii="Calibri" w:cs="Calibri" w:eastAsia="Calibri" w:hAnsi="Calibri"/>
          <w:b w:val="false"/>
          <w:bCs w:val="false"/>
          <w:i w:val="false"/>
          <w:iCs w:val="false"/>
          <w:color w:val="1A1A1A"/>
          <w:sz w:val="20"/>
          <w:szCs w:val="20"/>
        </w:rPr>
        <w:t xml:space="preserve">ADW founding team, Heineken Beverages SA, City Tourism partners, ADE liaison</w:t>
      </w:r>
    </w:p>
    <w:p>
      <w:pPr>
        <w:spacing w:after="140" w:before="0" w:line="300"/>
        <w:jc w:val="left"/>
      </w:pPr>
      <w:r>
        <w:rPr>
          <w:rFonts w:ascii="Calibri" w:cs="Calibri" w:eastAsia="Calibri" w:hAnsi="Calibri"/>
          <w:b w:val="false"/>
          <w:bCs w:val="false"/>
          <w:i w:val="false"/>
          <w:iCs w:val="false"/>
          <w:color w:val="6B6B6B"/>
          <w:sz w:val="20"/>
          <w:szCs w:val="20"/>
        </w:rPr>
        <w:t xml:space="preserve">Status: </w:t>
      </w:r>
      <w:r>
        <w:rPr>
          <w:rFonts w:ascii="Calibri" w:cs="Calibri" w:eastAsia="Calibri" w:hAnsi="Calibri"/>
          <w:b w:val="false"/>
          <w:bCs w:val="false"/>
          <w:i w:val="false"/>
          <w:iCs w:val="false"/>
          <w:color w:val="1A1A1A"/>
          <w:sz w:val="20"/>
          <w:szCs w:val="20"/>
        </w:rPr>
        <w:t xml:space="preserve">Working draft — v1.0</w:t>
      </w:r>
    </w:p>
    <w:p>
      <w:r>
        <w:br w:type="page"/>
      </w:r>
    </w:p>
    <w:p>
      <w:pPr>
        <w:pStyle w:val="Heading1"/>
        <w:spacing w:after="200" w:before="400"/>
      </w:pPr>
      <w:r>
        <w:rPr>
          <w:rFonts w:ascii="Calibri" w:cs="Calibri" w:eastAsia="Calibri" w:hAnsi="Calibri"/>
          <w:b/>
          <w:bCs/>
          <w:color w:val="1A1A1A"/>
          <w:sz w:val="36"/>
          <w:szCs w:val="36"/>
        </w:rPr>
        <w:t xml:space="preserve">Executive summary</w:t>
      </w:r>
    </w:p>
    <w:p>
      <w:pPr>
        <w:spacing w:after="140" w:before="0" w:line="300"/>
        <w:jc w:val="left"/>
      </w:pPr>
      <w:r>
        <w:rPr>
          <w:rFonts w:ascii="Calibri" w:cs="Calibri" w:eastAsia="Calibri" w:hAnsi="Calibri"/>
          <w:b w:val="false"/>
          <w:bCs w:val="false"/>
          <w:i w:val="false"/>
          <w:iCs w:val="false"/>
          <w:color w:val="1A1A1A"/>
          <w:sz w:val="22"/>
          <w:szCs w:val="22"/>
        </w:rPr>
        <w:t xml:space="preserve">Africa Dance Week (ADW) is South Africa's answer to Amsterdam Dance Event. ADE is the single most valuable piece of infrastructure that global electronic music has built: a five-day, city-wide convergence of 1,200+ events, 300+ venues, 3,300+ artists and 11,000+ industry professionals, underwritten by Heineken as its main partner. It is simultaneously a festival, a conference, a talent incubator, an awards night, a trade show and a media moment. ADW's thesis is that the same architecture — translated for South Africa's two biggest cultural cities and anchored in the sounds SA has exported to the world (Amapiano, Afro-House, Gqom, Afro-Tech) — can deliver a comparable platform on this continent within a three-year horizon.</w:t>
      </w:r>
    </w:p>
    <w:p>
      <w:pPr>
        <w:spacing w:after="140" w:before="0" w:line="300"/>
        <w:jc w:val="left"/>
      </w:pPr>
      <w:r>
        <w:rPr>
          <w:rFonts w:ascii="Calibri" w:cs="Calibri" w:eastAsia="Calibri" w:hAnsi="Calibri"/>
          <w:b w:val="false"/>
          <w:bCs w:val="false"/>
          <w:i w:val="false"/>
          <w:iCs w:val="false"/>
          <w:color w:val="1A1A1A"/>
          <w:sz w:val="22"/>
          <w:szCs w:val="22"/>
        </w:rPr>
        <w:t xml:space="preserve">This document does three things. First, it breaks ADE down into its component pillars and maps each one to a concrete ADW equivalent, so the comparison stops being aspirational and becomes operational. Second, it proposes a three-year phased build — a credible Year 1 pilot in December 2026, a consolidation year in 2027, and a push to near-ADE scale in 2028 — with realistic venue counts, attendee targets and budget envelopes for each. Third, it frames the partnership architecture around Heineken specifically: what they get, what category exclusivity costs, how the ADE→ADW continuity narrative works, and how ADE's already-announced Sub-Saharan Africa focus theme for 2026 creates a natural handoff into ADW December 2026.</w:t>
      </w:r>
    </w:p>
    <w:p>
      <w:pPr>
        <w:spacing w:after="140" w:before="0" w:line="300"/>
        <w:jc w:val="left"/>
      </w:pPr>
      <w:r>
        <w:rPr>
          <w:rFonts w:ascii="Calibri" w:cs="Calibri" w:eastAsia="Calibri" w:hAnsi="Calibri"/>
          <w:b w:val="false"/>
          <w:bCs w:val="false"/>
          <w:i w:val="false"/>
          <w:iCs w:val="false"/>
          <w:color w:val="1A1A1A"/>
          <w:sz w:val="22"/>
          <w:szCs w:val="22"/>
        </w:rPr>
        <w:t xml:space="preserve">Running through all of it is a commitment to local industry empowerment. ADW is not a foreign format being imported; it is a platform that formalises the South African dance economy — grant-funding emerging artists, accrediting venues, partnering with local rights bodies, upskilling production crews, and giving existing festivals (Kunye, Deep in the City, Sondela, Bread 4 Soul, Mayonie, Descendants and others) a shared marketing and infrastructure layer they currently have to build alone.</w:t>
      </w:r>
    </w:p>
    <w:p>
      <w:pPr>
        <w:spacing w:after="140" w:before="0" w:line="300"/>
        <w:jc w:val="left"/>
      </w:pPr>
      <w:r>
        <w:rPr>
          <w:rFonts w:ascii="Calibri" w:cs="Calibri" w:eastAsia="Calibri" w:hAnsi="Calibri"/>
          <w:b w:val="false"/>
          <w:bCs w:val="false"/>
          <w:i w:val="false"/>
          <w:iCs w:val="false"/>
          <w:color w:val="1A1A1A"/>
          <w:sz w:val="22"/>
          <w:szCs w:val="22"/>
        </w:rPr>
        <w:t xml:space="preserve">The event is eight months out. The shape of what we sign in the next 60 days determines whether Year 1 is a credible pilot or a cautionary tale. This document is written to support those decisions.</w:t>
      </w:r>
    </w:p>
    <w:p>
      <w:r>
        <w:br w:type="page"/>
      </w:r>
    </w:p>
    <w:p>
      <w:pPr>
        <w:pStyle w:val="Heading1"/>
        <w:spacing w:after="200" w:before="400"/>
      </w:pPr>
      <w:r>
        <w:rPr>
          <w:rFonts w:ascii="Calibri" w:cs="Calibri" w:eastAsia="Calibri" w:hAnsi="Calibri"/>
          <w:b/>
          <w:bCs/>
          <w:color w:val="1A1A1A"/>
          <w:sz w:val="36"/>
          <w:szCs w:val="36"/>
        </w:rPr>
        <w:t xml:space="preserve">1. The ADE anatomy — what we are actually replicating</w:t>
      </w:r>
    </w:p>
    <w:p>
      <w:pPr>
        <w:spacing w:after="140" w:before="0" w:line="300"/>
        <w:jc w:val="left"/>
      </w:pPr>
      <w:r>
        <w:rPr>
          <w:rFonts w:ascii="Calibri" w:cs="Calibri" w:eastAsia="Calibri" w:hAnsi="Calibri"/>
          <w:b w:val="false"/>
          <w:bCs w:val="false"/>
          <w:i w:val="false"/>
          <w:iCs w:val="false"/>
          <w:color w:val="1A1A1A"/>
          <w:sz w:val="22"/>
          <w:szCs w:val="22"/>
        </w:rPr>
        <w:t xml:space="preserve">ADE is often referred to as a festival. It is not a festival. It is five things stacked on top of each other, unified by a single brand, a single delegate pass and a single week in the calendar. Understanding this stack is essential, because ADW has to replicate the stack — not just the festival part — if we want the partnership economics to work.</w:t>
      </w:r>
    </w:p>
    <w:p>
      <w:pPr>
        <w:pStyle w:val="Heading3"/>
        <w:spacing w:after="100" w:before="220"/>
      </w:pPr>
      <w:r>
        <w:rPr>
          <w:rFonts w:ascii="Calibri" w:cs="Calibri" w:eastAsia="Calibri" w:hAnsi="Calibri"/>
          <w:b/>
          <w:bCs/>
          <w:color w:val="E11D2E"/>
          <w:sz w:val="24"/>
          <w:szCs w:val="24"/>
        </w:rPr>
        <w:t xml:space="preserve">1.1 ADE Pro — the business conference</w:t>
      </w:r>
    </w:p>
    <w:p>
      <w:pPr>
        <w:spacing w:after="140" w:before="0" w:line="300"/>
        <w:jc w:val="left"/>
      </w:pPr>
      <w:r>
        <w:rPr>
          <w:rFonts w:ascii="Calibri" w:cs="Calibri" w:eastAsia="Calibri" w:hAnsi="Calibri"/>
          <w:b w:val="false"/>
          <w:bCs w:val="false"/>
          <w:i w:val="false"/>
          <w:iCs w:val="false"/>
          <w:color w:val="1A1A1A"/>
          <w:sz w:val="22"/>
          <w:szCs w:val="22"/>
        </w:rPr>
        <w:t xml:space="preserve">The industry spine. Held primarily at Felix Meritis in Amsterdam's canal district over four days. Programming is panels, keynotes, curated meetups, industry sessions and networking drinks — built around the needs of labels, managers, booking agents, publishers, tech companies, brand marketers and press. The ADE Pro Pass is the premium delegate credential and is the single ticket that unlocks everything else ADE offers. Eleven thousand-plus professionals attend; fifty thousand-plus messages are sent on the ADE matchmaking platform annually. This is where the actual business gets done.</w:t>
      </w:r>
    </w:p>
    <w:p>
      <w:pPr>
        <w:pStyle w:val="Heading3"/>
        <w:spacing w:after="100" w:before="220"/>
      </w:pPr>
      <w:r>
        <w:rPr>
          <w:rFonts w:ascii="Calibri" w:cs="Calibri" w:eastAsia="Calibri" w:hAnsi="Calibri"/>
          <w:b/>
          <w:bCs/>
          <w:color w:val="E11D2E"/>
          <w:sz w:val="24"/>
          <w:szCs w:val="24"/>
        </w:rPr>
        <w:t xml:space="preserve">1.2 ADE Lab — the creator conference</w:t>
      </w:r>
    </w:p>
    <w:p>
      <w:pPr>
        <w:spacing w:after="140" w:before="0" w:line="300"/>
        <w:jc w:val="left"/>
      </w:pPr>
      <w:r>
        <w:rPr>
          <w:rFonts w:ascii="Calibri" w:cs="Calibri" w:eastAsia="Calibri" w:hAnsi="Calibri"/>
          <w:b w:val="false"/>
          <w:bCs w:val="false"/>
          <w:i w:val="false"/>
          <w:iCs w:val="false"/>
          <w:color w:val="1A1A1A"/>
          <w:sz w:val="22"/>
          <w:szCs w:val="22"/>
        </w:rPr>
        <w:t xml:space="preserve">Parallel to ADE Pro, aimed at aspiring and working artists rather than suits. Workshops, masterclasses, demo drops, gear test labs, tailor-made courses, incepted-style bootcamps. In 2025 ADE Lab expanded into its own ADE Lab Village in Westerpark — a concentrated multi-venue precinct where creators spend the day moving between studio sessions, mentor drop-ins and live showcases. This is the most directly exportable piece of ADE for a market like ours, because it is the part that most visibly builds the next generation.</w:t>
      </w:r>
    </w:p>
    <w:p>
      <w:pPr>
        <w:pStyle w:val="Heading3"/>
        <w:spacing w:after="100" w:before="220"/>
      </w:pPr>
      <w:r>
        <w:rPr>
          <w:rFonts w:ascii="Calibri" w:cs="Calibri" w:eastAsia="Calibri" w:hAnsi="Calibri"/>
          <w:b/>
          <w:bCs/>
          <w:color w:val="E11D2E"/>
          <w:sz w:val="24"/>
          <w:szCs w:val="24"/>
        </w:rPr>
        <w:t xml:space="preserve">1.3 ADE Festival — the city-wide nightlife layer</w:t>
      </w:r>
    </w:p>
    <w:p>
      <w:pPr>
        <w:spacing w:after="140" w:before="0" w:line="300"/>
        <w:jc w:val="left"/>
      </w:pPr>
      <w:r>
        <w:rPr>
          <w:rFonts w:ascii="Calibri" w:cs="Calibri" w:eastAsia="Calibri" w:hAnsi="Calibri"/>
          <w:b w:val="false"/>
          <w:bCs w:val="false"/>
          <w:i w:val="false"/>
          <w:iCs w:val="false"/>
          <w:color w:val="1A1A1A"/>
          <w:sz w:val="22"/>
          <w:szCs w:val="22"/>
        </w:rPr>
        <w:t xml:space="preserve">One thousand two hundred-plus events at three hundred-plus venues over five nights. Everything from 200-capacity underground rooms to warehouse events for thousands. ADE curates nothing directly at this layer; the festival is the venues and promoters themselves running programming under the ADE umbrella, with ADE providing the aggregation, wayfinding, ticketing discovery and delegate flow. The Festival makes Amsterdam breathe music for five nights, and the economic multiplier on the city is measured in hundreds of millions of euros.</w:t>
      </w:r>
    </w:p>
    <w:p>
      <w:pPr>
        <w:pStyle w:val="Heading3"/>
        <w:spacing w:after="100" w:before="220"/>
      </w:pPr>
      <w:r>
        <w:rPr>
          <w:rFonts w:ascii="Calibri" w:cs="Calibri" w:eastAsia="Calibri" w:hAnsi="Calibri"/>
          <w:b/>
          <w:bCs/>
          <w:color w:val="E11D2E"/>
          <w:sz w:val="24"/>
          <w:szCs w:val="24"/>
        </w:rPr>
        <w:t xml:space="preserve">1.4 ADE Arts &amp; Culture and ADE Friends</w:t>
      </w:r>
    </w:p>
    <w:p>
      <w:pPr>
        <w:spacing w:after="140" w:before="0" w:line="300"/>
        <w:jc w:val="left"/>
      </w:pPr>
      <w:r>
        <w:rPr>
          <w:rFonts w:ascii="Calibri" w:cs="Calibri" w:eastAsia="Calibri" w:hAnsi="Calibri"/>
          <w:b w:val="false"/>
          <w:bCs w:val="false"/>
          <w:i w:val="false"/>
          <w:iCs w:val="false"/>
          <w:color w:val="1A1A1A"/>
          <w:sz w:val="22"/>
          <w:szCs w:val="22"/>
        </w:rPr>
        <w:t xml:space="preserve">Two softer but strategically vital programmes. Arts &amp; Culture is the crossover between electronic music and other art forms — exhibitions, film, performance, talks at cultural institutions. ADE Friends is the open, largely free daytime layer: in-store sessions at record shops, interviews, vinyl listening sessions, meet-the-label events. Friends is what gives ADE civic legitimacy; it is how the event belongs to Amsterdam and not just to delegates.</w:t>
      </w:r>
    </w:p>
    <w:p>
      <w:pPr>
        <w:pStyle w:val="Heading3"/>
        <w:spacing w:after="100" w:before="220"/>
      </w:pPr>
      <w:r>
        <w:rPr>
          <w:rFonts w:ascii="Calibri" w:cs="Calibri" w:eastAsia="Calibri" w:hAnsi="Calibri"/>
          <w:b/>
          <w:bCs/>
          <w:color w:val="E11D2E"/>
          <w:sz w:val="24"/>
          <w:szCs w:val="24"/>
        </w:rPr>
        <w:t xml:space="preserve">1.5 ADE Green and Celebrate Safe</w:t>
      </w:r>
    </w:p>
    <w:p>
      <w:pPr>
        <w:spacing w:after="140" w:before="0" w:line="300"/>
        <w:jc w:val="left"/>
      </w:pPr>
      <w:r>
        <w:rPr>
          <w:rFonts w:ascii="Calibri" w:cs="Calibri" w:eastAsia="Calibri" w:hAnsi="Calibri"/>
          <w:b w:val="false"/>
          <w:bCs w:val="false"/>
          <w:i w:val="false"/>
          <w:iCs w:val="false"/>
          <w:color w:val="1A1A1A"/>
          <w:sz w:val="22"/>
          <w:szCs w:val="22"/>
        </w:rPr>
        <w:t xml:space="preserve">Two dedicated tracks on sustainability and harm reduction respectively. These exist partly because regulators demand them, but mostly because sponsors require them as conditions of association. Heineken's main-partner deal with ADE is inseparable from Celebrate Safe's responsible-drinking messaging; it is how a beer brand gets to own the cultural moment without being accused of irresponsibly targeting youth.</w:t>
      </w:r>
    </w:p>
    <w:p>
      <w:pPr>
        <w:pStyle w:val="Heading3"/>
        <w:spacing w:after="100" w:before="220"/>
      </w:pPr>
      <w:r>
        <w:rPr>
          <w:rFonts w:ascii="Calibri" w:cs="Calibri" w:eastAsia="Calibri" w:hAnsi="Calibri"/>
          <w:b/>
          <w:bCs/>
          <w:color w:val="E11D2E"/>
          <w:sz w:val="24"/>
          <w:szCs w:val="24"/>
        </w:rPr>
        <w:t xml:space="preserve">1.6 The partner architecture</w:t>
      </w:r>
    </w:p>
    <w:p>
      <w:pPr>
        <w:spacing w:after="140" w:before="0" w:line="300"/>
        <w:jc w:val="left"/>
      </w:pPr>
      <w:r>
        <w:rPr>
          <w:rFonts w:ascii="Calibri" w:cs="Calibri" w:eastAsia="Calibri" w:hAnsi="Calibri"/>
          <w:b w:val="false"/>
          <w:bCs w:val="false"/>
          <w:i w:val="false"/>
          <w:iCs w:val="false"/>
          <w:color w:val="1A1A1A"/>
          <w:sz w:val="22"/>
          <w:szCs w:val="22"/>
        </w:rPr>
        <w:t xml:space="preserve">ADE's commercial model runs on a small number of headline partners, each occupying a category. Heineken is the main partner (premium beer, category exclusive). BumaStemra, the Dutch royalty collection society, is the founding partner — which is significant because it signals that rights organisations are embedded in the event, not adjacent to it. Gear partners (Pioneer DJ, Ableton, Native Instruments, etc.) underwrite ADE Lab. City partners underwrite infrastructure. Below this tier sit activation partners, media partners and official venue partners. The architecture is clean and it is the architecture we need to reproduce.</w:t>
      </w:r>
    </w:p>
    <w:p>
      <w:r>
        <w:br w:type="page"/>
      </w:r>
    </w:p>
    <w:p>
      <w:pPr>
        <w:pStyle w:val="Heading1"/>
        <w:spacing w:after="200" w:before="400"/>
      </w:pPr>
      <w:r>
        <w:rPr>
          <w:rFonts w:ascii="Calibri" w:cs="Calibri" w:eastAsia="Calibri" w:hAnsi="Calibri"/>
          <w:b/>
          <w:bCs/>
          <w:color w:val="1A1A1A"/>
          <w:sz w:val="36"/>
          <w:szCs w:val="36"/>
        </w:rPr>
        <w:t xml:space="preserve">2. Programme mirror — pillar by pillar</w:t>
      </w:r>
    </w:p>
    <w:p>
      <w:pPr>
        <w:spacing w:after="140" w:before="0" w:line="300"/>
        <w:jc w:val="left"/>
      </w:pPr>
      <w:r>
        <w:rPr>
          <w:rFonts w:ascii="Calibri" w:cs="Calibri" w:eastAsia="Calibri" w:hAnsi="Calibri"/>
          <w:b w:val="false"/>
          <w:bCs w:val="false"/>
          <w:i w:val="false"/>
          <w:iCs w:val="false"/>
          <w:color w:val="1A1A1A"/>
          <w:sz w:val="22"/>
          <w:szCs w:val="22"/>
        </w:rPr>
        <w:t xml:space="preserve">The translation table below is the core of this document. Each ADE pillar has a named ADW equivalent, a proposed format, and a realistic Year 1 scope. Read alongside Section 4 (the three-year build) it shows how Year 1 is a credible pilot of the full stack rather than a scaled-down version of one pillar.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ADE PILLAR</w:t>
            </w:r>
          </w:p>
        </w:tc>
        <w:tc>
          <w:tcPr>
            <w:tcW w:type="dxa" w:w="234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ADE FORMAT</w:t>
            </w:r>
          </w:p>
        </w:tc>
        <w:tc>
          <w:tcPr>
            <w:tcW w:type="dxa" w:w="234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ADW EQUIVALENT</w:t>
            </w:r>
          </w:p>
        </w:tc>
        <w:tc>
          <w:tcPr>
            <w:tcW w:type="dxa" w:w="234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ADW YEAR 1 (DEC 2026)</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Pro</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4-day industry conference at Felix Meritis. Panels, keynotes, matchmaking, 11,000+ delegates.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Pro — industry conference running across both cities, anchored at a Johannesburg hub venue (proposed: Rockets Bryanston main room + Media Studio).</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3 days JHB. 600–800 delegates. 30–40 sessions across label strategy, publishing, brand, tech, touring. Matchmaking app live.</w:t>
            </w:r>
          </w:p>
        </w:tc>
      </w:tr>
      <w:tr>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Lab</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4-day creator conference. Workshops, demo drops, gear test lab, bootcamps. ADE Lab Village in Westerpark.</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Lab — concentrated creator village. Proposed location: a 4–5 venue cluster in Braamfontein/Maboneng or Bryanston precinct.</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3 days JHB. 15–20 masterclasses. Gear test lab with Pioneer DJ / Native Instruments. Demo drop night. Incepted-style bootcamp for 12 artists.</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Festival</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1,200+ events at 300+ venues over 5 nights, curated by the venues themselves under the ADE umbrella.</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Festival — existing JHB and CT venues run programming under ADW umbrella with ADW branding, aggregation and delegate access.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7 nights across cities. 60–80 events at 12–15 venues. JHB: Rockets, Truth, AND, The Basement, The Nest. CT: 8–10 partner venues.</w:t>
            </w:r>
          </w:p>
        </w:tc>
      </w:tr>
      <w:tr>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Arts &amp; Culture</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Crossover programming with museums, galleries, film institutions.</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Culture — crossover with JAG, Zeitz MOCAA, Market Theatre, Constitution Hill, Norval Foundation. Film premieres, exhibitions, talks.</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Light touch Year 1: 3–4 curated activations, one anchor exhibition, one documentary premiere.</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Friends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Free daytime layer: in-stores, vinyl sessions, open interviews. Civic legitimacy.</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Open — free daytime programming at record stores, studios, cafés and cultural hubs.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30+ free events across the week. Anchor: a pan-African vinyl fair across 2 days.</w:t>
            </w:r>
          </w:p>
        </w:tc>
      </w:tr>
      <w:tr>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ADE Green</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Sustainability conference track, waste/energy commitments, supplier policy.</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Green — sustainability track plus a binding supplier &amp; venue code of conduct.</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Half-day conference track. Baseline audit of all partner venues. Public commitment document.</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Celebrate Safe</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Harm reduction, responsible drinking, mental health. A Heineken precondition at ADE.</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Safe — responsible drinking, drug harm reduction, safer nightlife, mental health for artists.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Partnership with SANCA and MOSAIC. On-site at every partner venue. Integrated with any Heineken activation.</w:t>
            </w:r>
          </w:p>
        </w:tc>
      </w:tr>
      <w:tr>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Awards</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ADE does not run industry awards directly; the International Dance Music Awards run adjacent to it elsewhere.</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Awards — industry-voted awards evening. This is a gap ADE has left that ADW can own.</w:t>
            </w:r>
          </w:p>
        </w:tc>
        <w:tc>
          <w:tcPr>
            <w:tcW w:type="dxa" w:w="234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First edition. 17 categories as drafted. Broadcast deal. Positioned as the defining African dance awards.</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Matchmaking platform</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Year-round ADE Pro database. 50,000+ messages a year. Dedicated matchmaking tool.</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ADW Connect — year-round database and matchmaking app built on the existing DanceAfrika Firebase stack (already live).</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Launches June 2026. Open to all delegates. Integrates with EPK Builder and artist profiles already in the DA ecosystem.</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pPr>
        <w:spacing w:after="140" w:before="0" w:line="300"/>
        <w:jc w:val="left"/>
      </w:pPr>
      <w:r>
        <w:rPr>
          <w:rFonts w:ascii="Calibri" w:cs="Calibri" w:eastAsia="Calibri" w:hAnsi="Calibri"/>
          <w:b w:val="false"/>
          <w:bCs w:val="false"/>
          <w:i w:val="false"/>
          <w:iCs w:val="false"/>
          <w:color w:val="1A1A1A"/>
          <w:sz w:val="22"/>
          <w:szCs w:val="22"/>
        </w:rPr>
        <w:t xml:space="preserve">Two observations on this table. First, ADW Year 1 can credibly replicate every ADE pillar except Friends and Arts &amp; Culture at scale — those two require years of relationship-building with cultural institutions and independent venues, and should be seeded small and grown. Second, the Awards pillar is a genuine ADE gap that ADW can own from day one; the IDMAs are held in Miami and have never felt like the industry's awards in the way that, say, the BRIT Awards feel like UK music's awards. ADW Awards can be the African dance industry's own.</w:t>
      </w:r>
    </w:p>
    <w:p>
      <w:r>
        <w:br w:type="page"/>
      </w:r>
    </w:p>
    <w:p>
      <w:pPr>
        <w:pStyle w:val="Heading1"/>
        <w:spacing w:after="200" w:before="400"/>
      </w:pPr>
      <w:r>
        <w:rPr>
          <w:rFonts w:ascii="Calibri" w:cs="Calibri" w:eastAsia="Calibri" w:hAnsi="Calibri"/>
          <w:b/>
          <w:bCs/>
          <w:color w:val="1A1A1A"/>
          <w:sz w:val="36"/>
          <w:szCs w:val="36"/>
        </w:rPr>
        <w:t xml:space="preserve">3. The Heineken partnership frame</w:t>
      </w:r>
    </w:p>
    <w:p>
      <w:pPr>
        <w:spacing w:after="140" w:before="0" w:line="300"/>
        <w:jc w:val="left"/>
      </w:pPr>
      <w:r>
        <w:rPr>
          <w:rFonts w:ascii="Calibri" w:cs="Calibri" w:eastAsia="Calibri" w:hAnsi="Calibri"/>
          <w:b w:val="false"/>
          <w:bCs w:val="false"/>
          <w:i w:val="false"/>
          <w:iCs w:val="false"/>
          <w:color w:val="1A1A1A"/>
          <w:sz w:val="22"/>
          <w:szCs w:val="22"/>
        </w:rPr>
        <w:t xml:space="preserve">Heineken is ADE's main partner. That relationship is the closest commercial analogue we have for what ADW is trying to sell. Understanding what Heineken gets out of ADE — and more importantly, what ADE gives Heineken that no other music property on earth can — is what lets us build the ADW version of that offer honestly.</w:t>
      </w:r>
    </w:p>
    <w:p>
      <w:pPr>
        <w:pStyle w:val="Heading3"/>
        <w:spacing w:after="100" w:before="220"/>
      </w:pPr>
      <w:r>
        <w:rPr>
          <w:rFonts w:ascii="Calibri" w:cs="Calibri" w:eastAsia="Calibri" w:hAnsi="Calibri"/>
          <w:b/>
          <w:bCs/>
          <w:color w:val="E11D2E"/>
          <w:sz w:val="24"/>
          <w:szCs w:val="24"/>
        </w:rPr>
        <w:t xml:space="preserve">3.1 What Heineken already gets from ADE</w:t>
      </w:r>
    </w:p>
    <w:p>
      <w:pPr>
        <w:spacing w:after="140" w:before="0" w:line="300"/>
        <w:jc w:val="left"/>
      </w:pPr>
      <w:r>
        <w:rPr>
          <w:rFonts w:ascii="Calibri" w:cs="Calibri" w:eastAsia="Calibri" w:hAnsi="Calibri"/>
          <w:b w:val="false"/>
          <w:bCs w:val="false"/>
          <w:i w:val="false"/>
          <w:iCs w:val="false"/>
          <w:color w:val="1A1A1A"/>
          <w:sz w:val="22"/>
          <w:szCs w:val="22"/>
        </w:rPr>
        <w:t xml:space="preserve">Heineken's ADE deal is reported to run into seven figures annually in sponsorship value, in exchange for category exclusivity, on-site dominance across 300+ venues, a house-of-Heineken hub, integrated Celebrate Safe messaging that protects the brand from responsible-drinking critique, content rights and footage for global campaigns, and access to a curated matchmaking platform where brand marketers meet the cultural producers shaping youth music worldwide. The value they extract is not pint sales during ADE week. It is being the beer brand that young, tastemaker, internationally-mobile music people associate with dance culture. It is a brand-equity play, not a volume play.</w:t>
      </w:r>
    </w:p>
    <w:p>
      <w:pPr>
        <w:pStyle w:val="Heading3"/>
        <w:spacing w:after="100" w:before="220"/>
      </w:pPr>
      <w:r>
        <w:rPr>
          <w:rFonts w:ascii="Calibri" w:cs="Calibri" w:eastAsia="Calibri" w:hAnsi="Calibri"/>
          <w:b/>
          <w:bCs/>
          <w:color w:val="E11D2E"/>
          <w:sz w:val="24"/>
          <w:szCs w:val="24"/>
        </w:rPr>
        <w:t xml:space="preserve">3.2 Why ADW is the natural next chapter for Heineken in Africa</w:t>
      </w:r>
    </w:p>
    <w:p>
      <w:pPr>
        <w:spacing w:after="140" w:before="0" w:line="300"/>
        <w:jc w:val="left"/>
      </w:pPr>
      <w:r>
        <w:rPr>
          <w:rFonts w:ascii="Calibri" w:cs="Calibri" w:eastAsia="Calibri" w:hAnsi="Calibri"/>
          <w:b w:val="false"/>
          <w:bCs w:val="false"/>
          <w:i w:val="false"/>
          <w:iCs w:val="false"/>
          <w:color w:val="1A1A1A"/>
          <w:sz w:val="22"/>
          <w:szCs w:val="22"/>
        </w:rPr>
        <w:t xml:space="preserve">Three facts make this partnership unusually coherent for Heineken specifically.</w:t>
      </w:r>
    </w:p>
    <w:p>
      <w:pPr>
        <w:pStyle w:val="ListParagraph"/>
        <w:numPr>
          <w:ilvl w:val="0"/>
          <w:numId w:val="2"/>
        </w:numPr>
        <w:spacing w:after="80" w:line="280"/>
      </w:pPr>
      <w:r>
        <w:rPr>
          <w:rFonts w:ascii="Calibri" w:cs="Calibri" w:eastAsia="Calibri" w:hAnsi="Calibri"/>
          <w:color w:val="1A1A1A"/>
          <w:sz w:val="22"/>
          <w:szCs w:val="22"/>
        </w:rPr>
        <w:t xml:space="preserve">Heineken has an operating base in South Africa. Heineken Beverages (formed by the 2023 Heineken–Distell combination) is already one of the three largest beverage businesses on the continent, with local breweries, local distribution, and a premium portfolio in market (Heineken, Heineken 0.0, Amstel, Amstel Gold, Savanna, Strongbow) that maps onto ADW's audience demographics precisely.</w:t>
      </w:r>
    </w:p>
    <w:p>
      <w:pPr>
        <w:pStyle w:val="ListParagraph"/>
        <w:numPr>
          <w:ilvl w:val="0"/>
          <w:numId w:val="2"/>
        </w:numPr>
        <w:spacing w:after="80" w:line="280"/>
      </w:pPr>
      <w:r>
        <w:rPr>
          <w:rFonts w:ascii="Calibri" w:cs="Calibri" w:eastAsia="Calibri" w:hAnsi="Calibri"/>
          <w:color w:val="1A1A1A"/>
          <w:sz w:val="22"/>
          <w:szCs w:val="22"/>
        </w:rPr>
        <w:t xml:space="preserve">ADE announced Sub-Saharan Africa as a key focus theme for its 2026 edition (alongside Brazil and MENA). The ADE conference in October 2026 will spotlight this region. ADW in December 2026 becomes the natural downstream landing pad — the place where the conversation ADE starts actually happens on the ground. Heineken can run a single, coherent six-month campaign from ADE Amsterdam in October straight into ADW in South Africa in December.</w:t>
      </w:r>
    </w:p>
    <w:p>
      <w:pPr>
        <w:pStyle w:val="ListParagraph"/>
        <w:numPr>
          <w:ilvl w:val="0"/>
          <w:numId w:val="2"/>
        </w:numPr>
        <w:spacing w:after="80" w:line="280"/>
      </w:pPr>
      <w:r>
        <w:rPr>
          <w:rFonts w:ascii="Calibri" w:cs="Calibri" w:eastAsia="Calibri" w:hAnsi="Calibri"/>
          <w:color w:val="1A1A1A"/>
          <w:sz w:val="22"/>
          <w:szCs w:val="22"/>
        </w:rPr>
        <w:t xml:space="preserve">Heineken's global strategy already includes the "Rhythm of Africa" brand territory and a long-standing partnership with electronic music across markets. ADW is the first property that lets them consolidate that territory into one owned anchor event per year on the continent.</w:t>
      </w:r>
    </w:p>
    <w:p>
      <w:pPr>
        <w:pStyle w:val="Heading3"/>
        <w:spacing w:after="100" w:before="220"/>
      </w:pPr>
      <w:r>
        <w:rPr>
          <w:rFonts w:ascii="Calibri" w:cs="Calibri" w:eastAsia="Calibri" w:hAnsi="Calibri"/>
          <w:b/>
          <w:bCs/>
          <w:color w:val="E11D2E"/>
          <w:sz w:val="24"/>
          <w:szCs w:val="24"/>
        </w:rPr>
        <w:t xml:space="preserve">3.3 What the ADW Year 1 Heineken offer looks like</w:t>
      </w:r>
    </w:p>
    <w:p>
      <w:pPr>
        <w:spacing w:after="140" w:before="0" w:line="300"/>
        <w:jc w:val="left"/>
      </w:pPr>
      <w:r>
        <w:rPr>
          <w:rFonts w:ascii="Calibri" w:cs="Calibri" w:eastAsia="Calibri" w:hAnsi="Calibri"/>
          <w:b w:val="false"/>
          <w:bCs w:val="false"/>
          <w:i w:val="false"/>
          <w:iCs w:val="false"/>
          <w:color w:val="1A1A1A"/>
          <w:sz w:val="22"/>
          <w:szCs w:val="22"/>
        </w:rPr>
        <w:t xml:space="preserve">The proposed Heineken offer for ADW Year 1 is a main-partner position priced in the R8–12 million range, structured around five deliverables:</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Category exclusivity: </w:t>
      </w:r>
      <w:r>
        <w:rPr>
          <w:rFonts w:ascii="Calibri" w:cs="Calibri" w:eastAsia="Calibri" w:hAnsi="Calibri"/>
          <w:b w:val="false"/>
          <w:bCs w:val="false"/>
          <w:i w:val="false"/>
          <w:iCs w:val="false"/>
          <w:color w:val="1A1A1A"/>
          <w:sz w:val="22"/>
          <w:szCs w:val="22"/>
        </w:rPr>
        <w:t xml:space="preserve">premium beer / cider / low-alcohol category locked across all ADW-branded venues, events, conference sessions and activations for the 7-day period.</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House of Heineken: </w:t>
      </w:r>
      <w:r>
        <w:rPr>
          <w:rFonts w:ascii="Calibri" w:cs="Calibri" w:eastAsia="Calibri" w:hAnsi="Calibri"/>
          <w:b w:val="false"/>
          <w:bCs w:val="false"/>
          <w:i w:val="false"/>
          <w:iCs w:val="false"/>
          <w:color w:val="1A1A1A"/>
          <w:sz w:val="22"/>
          <w:szCs w:val="22"/>
        </w:rPr>
        <w:t xml:space="preserve">a flagship hospitality and activation hub at a hero venue (proposed: a takeover of the Rockets Bryanston main floor for 3 days, and Cape Town Truth or Shimmy Beach Club for 4 days). Includes delegate lounge, content studio, artist green room and a public-facing DJ stage.</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Heineken Rising Stars: </w:t>
      </w:r>
      <w:r>
        <w:rPr>
          <w:rFonts w:ascii="Calibri" w:cs="Calibri" w:eastAsia="Calibri" w:hAnsi="Calibri"/>
          <w:b w:val="false"/>
          <w:bCs w:val="false"/>
          <w:i w:val="false"/>
          <w:iCs w:val="false"/>
          <w:color w:val="1A1A1A"/>
          <w:sz w:val="22"/>
          <w:szCs w:val="22"/>
        </w:rPr>
        <w:t xml:space="preserve">Heineken's existing global emerging-DJ programme, localised for ADW. Entry open nationally; winner gets a showcase slot at the ADW Awards and a mentorship with a named ADE ambassador. This is the industry empowerment narrative and the Heineken narrative fused into one.</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Integrated content rights: </w:t>
      </w:r>
      <w:r>
        <w:rPr>
          <w:rFonts w:ascii="Calibri" w:cs="Calibri" w:eastAsia="Calibri" w:hAnsi="Calibri"/>
          <w:b w:val="false"/>
          <w:bCs w:val="false"/>
          <w:i w:val="false"/>
          <w:iCs w:val="false"/>
          <w:color w:val="1A1A1A"/>
          <w:sz w:val="22"/>
          <w:szCs w:val="22"/>
        </w:rPr>
        <w:t xml:space="preserve">Heineken receives raw footage, edited content, and co-production credits on the official ADW documentary, the awards broadcast, and a 10-episode behind-the-scenes podcast series. DiscovrTV is the in-house production partner on this.</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ADW Safe lead sponsorship: </w:t>
      </w:r>
      <w:r>
        <w:rPr>
          <w:rFonts w:ascii="Calibri" w:cs="Calibri" w:eastAsia="Calibri" w:hAnsi="Calibri"/>
          <w:b w:val="false"/>
          <w:bCs w:val="false"/>
          <w:i w:val="false"/>
          <w:iCs w:val="false"/>
          <w:color w:val="1A1A1A"/>
          <w:sz w:val="22"/>
          <w:szCs w:val="22"/>
        </w:rPr>
        <w:t xml:space="preserve">Heineken is the named sponsor of ADW Safe (the Celebrate Safe equivalent). This is non-negotiable and it is the deliverable that makes the partnership defensible internally to Heineken global responsibility teams.</w:t>
      </w:r>
    </w:p>
    <w:p>
      <w:pPr>
        <w:pStyle w:val="Heading3"/>
        <w:spacing w:after="100" w:before="220"/>
      </w:pPr>
      <w:r>
        <w:rPr>
          <w:rFonts w:ascii="Calibri" w:cs="Calibri" w:eastAsia="Calibri" w:hAnsi="Calibri"/>
          <w:b/>
          <w:bCs/>
          <w:color w:val="E11D2E"/>
          <w:sz w:val="24"/>
          <w:szCs w:val="24"/>
        </w:rPr>
        <w:t xml:space="preserve">3.4 The return on investment Heineken should expect</w:t>
      </w:r>
    </w:p>
    <w:p>
      <w:pPr>
        <w:spacing w:after="140" w:before="0" w:line="300"/>
        <w:jc w:val="left"/>
      </w:pPr>
      <w:r>
        <w:rPr>
          <w:rFonts w:ascii="Calibri" w:cs="Calibri" w:eastAsia="Calibri" w:hAnsi="Calibri"/>
          <w:b w:val="false"/>
          <w:bCs w:val="false"/>
          <w:i w:val="false"/>
          <w:iCs w:val="false"/>
          <w:color w:val="1A1A1A"/>
          <w:sz w:val="22"/>
          <w:szCs w:val="22"/>
        </w:rPr>
        <w:t xml:space="preserve">A Year 1 investment of R8–12M should be benchmarked against estimated returns of R35–50M in tracked media value (broadcast + digital + PR + influencer), direct category lift across the host cities during the campaign window, a content library of 40+ assets usable across Heineken's Africa markets for 12 months, and a measurable brand lift among 18–34 urban South Africans. Concrete measurement frameworks (Kantar brand lift study, Nielsen sponsorship valuation, bespoke in-venue sampling data) are budgeted in Section 5.</w:t>
      </w:r>
    </w:p>
    <w:p>
      <w:pPr>
        <w:pStyle w:val="Heading3"/>
        <w:spacing w:after="100" w:before="220"/>
      </w:pPr>
      <w:r>
        <w:rPr>
          <w:rFonts w:ascii="Calibri" w:cs="Calibri" w:eastAsia="Calibri" w:hAnsi="Calibri"/>
          <w:b/>
          <w:bCs/>
          <w:color w:val="E11D2E"/>
          <w:sz w:val="24"/>
          <w:szCs w:val="24"/>
        </w:rPr>
        <w:t xml:space="preserve">3.5 The longer arc — Years 2 and 3</w:t>
      </w:r>
    </w:p>
    <w:p>
      <w:pPr>
        <w:spacing w:after="140" w:before="0" w:line="300"/>
        <w:jc w:val="left"/>
      </w:pPr>
      <w:r>
        <w:rPr>
          <w:rFonts w:ascii="Calibri" w:cs="Calibri" w:eastAsia="Calibri" w:hAnsi="Calibri"/>
          <w:b w:val="false"/>
          <w:bCs w:val="false"/>
          <w:i w:val="false"/>
          <w:iCs w:val="false"/>
          <w:color w:val="1A1A1A"/>
          <w:sz w:val="22"/>
          <w:szCs w:val="22"/>
        </w:rPr>
        <w:t xml:space="preserve">The honest conversation to have with Heineken is that Year 1 is a pilot. The offer above is deliberately scoped so that a Year 1 partnership at R8–12M delivers proven value rather than aspirational value, and so that Year 2 renewal at R15–20M and Year 3 at R25–30M is earned on results rather than pitched on promise. The comparison to ADE-Amsterdam (where Heineken's main-partner investment is substantially higher) is the three-year target, not the day-one price.</w:t>
      </w:r>
    </w:p>
    <w:p>
      <w:r>
        <w:br w:type="page"/>
      </w:r>
    </w:p>
    <w:p>
      <w:pPr>
        <w:pStyle w:val="Heading1"/>
        <w:spacing w:after="200" w:before="400"/>
      </w:pPr>
      <w:r>
        <w:rPr>
          <w:rFonts w:ascii="Calibri" w:cs="Calibri" w:eastAsia="Calibri" w:hAnsi="Calibri"/>
          <w:b/>
          <w:bCs/>
          <w:color w:val="1A1A1A"/>
          <w:sz w:val="36"/>
          <w:szCs w:val="36"/>
        </w:rPr>
        <w:t xml:space="preserve">4. The three-year phased build</w:t>
      </w:r>
    </w:p>
    <w:p>
      <w:pPr>
        <w:spacing w:after="140" w:before="0" w:line="300"/>
        <w:jc w:val="left"/>
      </w:pPr>
      <w:r>
        <w:rPr>
          <w:rFonts w:ascii="Calibri" w:cs="Calibri" w:eastAsia="Calibri" w:hAnsi="Calibri"/>
          <w:b w:val="false"/>
          <w:bCs w:val="false"/>
          <w:i w:val="false"/>
          <w:iCs w:val="false"/>
          <w:color w:val="1A1A1A"/>
          <w:sz w:val="22"/>
          <w:szCs w:val="22"/>
        </w:rPr>
        <w:t xml:space="preserve">ADW cannot be ADE in Year 1. It should not try to be. The size of the Amsterdam event is the product of thirty editions; trying to compress that into eight months of build is how cultural properties die in the cradle. The phased plan below is calibrated so Year 1 is a credible, defensible pilot that proves the concept to partners, Year 2 is the consolidation year where the platform becomes profitable and reaches meaningful international scale, and Year 3 is the push toward genuine ADE parity on most pillars.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2496"/>
        <w:gridCol w:w="2496"/>
        <w:gridCol w:w="2496"/>
      </w:tblGrid>
      <w:tr>
        <w:trPr>
          <w:tblHeader/>
        </w:trPr>
        <w:tc>
          <w:tcPr>
            <w:tcW w:type="dxa" w:w="1872"/>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METRIC</w:t>
            </w:r>
          </w:p>
        </w:tc>
        <w:tc>
          <w:tcPr>
            <w:tcW w:type="dxa" w:w="2496"/>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YEAR 1 — DEC 2026 (PILOT)</w:t>
            </w:r>
          </w:p>
        </w:tc>
        <w:tc>
          <w:tcPr>
            <w:tcW w:type="dxa" w:w="2496"/>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YEAR 2 — DEC 2027 (SCALE)</w:t>
            </w:r>
          </w:p>
        </w:tc>
        <w:tc>
          <w:tcPr>
            <w:tcW w:type="dxa" w:w="2496"/>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YEAR 3 — DEC 2028 (PARITY)</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Duration</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7 days (3 JHB + 4 CT)</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9 days (4 JHB + 5 CT)</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10 days (4 JHB + 5 CT + 1 Durban bridge)</w:t>
            </w:r>
          </w:p>
        </w:tc>
      </w:tr>
      <w:tr>
        <w:tc>
          <w:tcPr>
            <w:tcW w:type="dxa" w:w="1872"/>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Conference delegates</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600–800</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2,000–2,500</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4,500–5,500</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Festival events</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60–80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180–220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400+</w:t>
            </w:r>
          </w:p>
        </w:tc>
      </w:tr>
      <w:tr>
        <w:tc>
          <w:tcPr>
            <w:tcW w:type="dxa" w:w="1872"/>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Partner venues</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12–15</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35–45</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90–110</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Total artists</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200–300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650–800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1,400–1,600</w:t>
            </w:r>
          </w:p>
        </w:tc>
      </w:tr>
      <w:tr>
        <w:tc>
          <w:tcPr>
            <w:tcW w:type="dxa" w:w="1872"/>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Total attendees (all ticketed events, both cities)</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40,000–55,000</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110,000–140,000</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220,000–260,000</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Int'l pro delegates (non-SA)</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~120 (incl. ADE delegation)</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~450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1,000+</w:t>
            </w:r>
          </w:p>
        </w:tc>
      </w:tr>
      <w:tr>
        <w:tc>
          <w:tcPr>
            <w:tcW w:type="dxa" w:w="1872"/>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Total programme budget</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R28M</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R60–65M</w:t>
            </w:r>
          </w:p>
        </w:tc>
        <w:tc>
          <w:tcPr>
            <w:tcW w:type="dxa" w:w="2496"/>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R105–120M</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Target net position</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Breakeven to +R4M (reinvested)</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+R8–12M (reinvested)</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+R20M+ (distributed)</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pPr>
        <w:pStyle w:val="Heading3"/>
        <w:spacing w:after="100" w:before="220"/>
      </w:pPr>
      <w:r>
        <w:rPr>
          <w:rFonts w:ascii="Calibri" w:cs="Calibri" w:eastAsia="Calibri" w:hAnsi="Calibri"/>
          <w:b/>
          <w:bCs/>
          <w:color w:val="E11D2E"/>
          <w:sz w:val="24"/>
          <w:szCs w:val="24"/>
        </w:rPr>
        <w:t xml:space="preserve">4.1 Year 1 (December 2026) — the pilot</w:t>
      </w:r>
    </w:p>
    <w:p>
      <w:pPr>
        <w:spacing w:after="140" w:before="0" w:line="300"/>
        <w:jc w:val="left"/>
      </w:pPr>
      <w:r>
        <w:rPr>
          <w:rFonts w:ascii="Calibri" w:cs="Calibri" w:eastAsia="Calibri" w:hAnsi="Calibri"/>
          <w:b w:val="false"/>
          <w:bCs w:val="false"/>
          <w:i w:val="false"/>
          <w:iCs w:val="false"/>
          <w:color w:val="1A1A1A"/>
          <w:sz w:val="22"/>
          <w:szCs w:val="22"/>
        </w:rPr>
        <w:t xml:space="preserve">Year 1 is scoped to be unambiguously deliverable in the time available. Dates anchored on the first week of December 2026 to sit in the peak festive window ahead of the Christmas slowdown. The Johannesburg leg runs Tuesday–Thursday, focusing the industry conference and awards in the city that hosts most of the national industry. The Cape Town leg runs Friday–Monday, leaning into the coastal tourism inflow and the city's larger festival infrastructure. A 36-hour travel window between cities is built in.</w:t>
      </w:r>
    </w:p>
    <w:p>
      <w:pPr>
        <w:spacing w:after="140" w:before="0" w:line="300"/>
        <w:jc w:val="left"/>
      </w:pPr>
      <w:r>
        <w:rPr>
          <w:rFonts w:ascii="Calibri" w:cs="Calibri" w:eastAsia="Calibri" w:hAnsi="Calibri"/>
          <w:b w:val="false"/>
          <w:bCs w:val="false"/>
          <w:i w:val="false"/>
          <w:iCs w:val="false"/>
          <w:color w:val="1A1A1A"/>
          <w:sz w:val="22"/>
          <w:szCs w:val="22"/>
        </w:rPr>
        <w:t xml:space="preserve">The measurable Year 1 success criteria are: main partner signed (ideally Heineken) by end of June 2026; both City Tourism partnerships signed by end of July; 12 venue partnerships contracted by end of August; 70% of Pro delegate passes sold by end of October; the matchmaking platform live with 1,000+ registered users by end of November; and a post-event economic impact assessment that credibly estimates &gt;R100M in combined tourism and sector spend attributable to the event. Hit those and Year 2 fundraising writes itself.</w:t>
      </w:r>
    </w:p>
    <w:p>
      <w:pPr>
        <w:pStyle w:val="Heading3"/>
        <w:spacing w:after="100" w:before="220"/>
      </w:pPr>
      <w:r>
        <w:rPr>
          <w:rFonts w:ascii="Calibri" w:cs="Calibri" w:eastAsia="Calibri" w:hAnsi="Calibri"/>
          <w:b/>
          <w:bCs/>
          <w:color w:val="E11D2E"/>
          <w:sz w:val="24"/>
          <w:szCs w:val="24"/>
        </w:rPr>
        <w:t xml:space="preserve">4.2 Year 2 (December 2027) — scale</w:t>
      </w:r>
    </w:p>
    <w:p>
      <w:pPr>
        <w:spacing w:after="140" w:before="0" w:line="300"/>
        <w:jc w:val="left"/>
      </w:pPr>
      <w:r>
        <w:rPr>
          <w:rFonts w:ascii="Calibri" w:cs="Calibri" w:eastAsia="Calibri" w:hAnsi="Calibri"/>
          <w:b w:val="false"/>
          <w:bCs w:val="false"/>
          <w:i w:val="false"/>
          <w:iCs w:val="false"/>
          <w:color w:val="1A1A1A"/>
          <w:sz w:val="22"/>
          <w:szCs w:val="22"/>
        </w:rPr>
        <w:t xml:space="preserve">Year 2 triples the venue count and the festival event count. This is the year the platform becomes meaningfully international — we target the first formal ADE delegation partnership, a roster of at least 60 international delegates (labels, agents, festival buyers), and the first year that ADW functions as a discovery platform for non-SA booking agents. Year 2 is also when ADW Connect (the matchmaking platform) needs to be genuinely useful outside of the event week — a year-round utility, not just a conference app.</w:t>
      </w:r>
    </w:p>
    <w:p>
      <w:pPr>
        <w:pStyle w:val="Heading3"/>
        <w:spacing w:after="100" w:before="220"/>
      </w:pPr>
      <w:r>
        <w:rPr>
          <w:rFonts w:ascii="Calibri" w:cs="Calibri" w:eastAsia="Calibri" w:hAnsi="Calibri"/>
          <w:b/>
          <w:bCs/>
          <w:color w:val="E11D2E"/>
          <w:sz w:val="24"/>
          <w:szCs w:val="24"/>
        </w:rPr>
        <w:t xml:space="preserve">4.3 Year 3 (December 2028) — parity</w:t>
      </w:r>
    </w:p>
    <w:p>
      <w:pPr>
        <w:spacing w:after="140" w:before="0" w:line="300"/>
        <w:jc w:val="left"/>
      </w:pPr>
      <w:r>
        <w:rPr>
          <w:rFonts w:ascii="Calibri" w:cs="Calibri" w:eastAsia="Calibri" w:hAnsi="Calibri"/>
          <w:b w:val="false"/>
          <w:bCs w:val="false"/>
          <w:i w:val="false"/>
          <w:iCs w:val="false"/>
          <w:color w:val="1A1A1A"/>
          <w:sz w:val="22"/>
          <w:szCs w:val="22"/>
        </w:rPr>
        <w:t xml:space="preserve">Year 3 is the push to within meaningful distance of ADE on most pillars. Ninety-plus venues, 400+ festival events, 4,500+ conference delegates, 1,000+ international professionals. Durban becomes a bridging one-day leg (Gqom home ground) between JHB and CT. The partner stack at this point should include a confirmed main partner at R25M+, three tier-2 partners at R10M+, and a confirmed broadcast deal with a global streaming platform (Boiler Room, Beatport Live, or a direct Spotify / Apple Music content partnership). Year 3 is the year ADW applies for UNWTO Tourism Event of the Year and the year the case can credibly be made that South Africa has its ADE.</w:t>
      </w:r>
    </w:p>
    <w:p>
      <w:r>
        <w:br w:type="page"/>
      </w:r>
    </w:p>
    <w:p>
      <w:pPr>
        <w:pStyle w:val="Heading1"/>
        <w:spacing w:after="200" w:before="400"/>
      </w:pPr>
      <w:r>
        <w:rPr>
          <w:rFonts w:ascii="Calibri" w:cs="Calibri" w:eastAsia="Calibri" w:hAnsi="Calibri"/>
          <w:b/>
          <w:bCs/>
          <w:color w:val="1A1A1A"/>
          <w:sz w:val="36"/>
          <w:szCs w:val="36"/>
        </w:rPr>
        <w:t xml:space="preserve">5. Year 1 budget &amp; revenue</w:t>
      </w:r>
    </w:p>
    <w:p>
      <w:pPr>
        <w:spacing w:after="140" w:before="0" w:line="300"/>
        <w:jc w:val="left"/>
      </w:pPr>
      <w:r>
        <w:rPr>
          <w:rFonts w:ascii="Calibri" w:cs="Calibri" w:eastAsia="Calibri" w:hAnsi="Calibri"/>
          <w:b w:val="false"/>
          <w:bCs w:val="false"/>
          <w:i w:val="false"/>
          <w:iCs w:val="false"/>
          <w:color w:val="1A1A1A"/>
          <w:sz w:val="22"/>
          <w:szCs w:val="22"/>
        </w:rPr>
        <w:t xml:space="preserve">The figures below are working estimates intended to be pressure-tested with the Rockets Group finance team and updated once the main partner price point is locked. They are deliberately conservative on revenue and realistic on cost. Year 1 is budgeted to run at approximate breakeven with a small surplus that is contractually ringfenced for Year 2 reinvestment and the ADW Fund, which reinforces the local-industry-empowerment narrative when talking to government and to Heineken responsibility teams.</w:t>
      </w:r>
    </w:p>
    <w:p>
      <w:pPr>
        <w:pStyle w:val="Heading3"/>
        <w:spacing w:after="100" w:before="220"/>
      </w:pPr>
      <w:r>
        <w:rPr>
          <w:rFonts w:ascii="Calibri" w:cs="Calibri" w:eastAsia="Calibri" w:hAnsi="Calibri"/>
          <w:b/>
          <w:bCs/>
          <w:color w:val="E11D2E"/>
          <w:sz w:val="24"/>
          <w:szCs w:val="24"/>
        </w:rPr>
        <w:t xml:space="preserve">5.1 Cost 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rPr>
          <w:tblHeader/>
        </w:trPr>
        <w:tc>
          <w:tcPr>
            <w:tcW w:type="dxa" w:w="35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COST LINE</w:t>
            </w:r>
          </w:p>
        </w:tc>
        <w:tc>
          <w:tcPr>
            <w:tcW w:type="dxa" w:w="20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right"/>
            </w:pPr>
            <w:r>
              <w:rPr>
                <w:rFonts w:ascii="Calibri" w:cs="Calibri" w:eastAsia="Calibri" w:hAnsi="Calibri"/>
                <w:b/>
                <w:bCs/>
                <w:color w:val="FFFFFF"/>
                <w:sz w:val="20"/>
                <w:szCs w:val="20"/>
              </w:rPr>
              <w:t xml:space="preserve">BUDGET (R, EX-VAT)</w:t>
            </w:r>
          </w:p>
        </w:tc>
        <w:tc>
          <w:tcPr>
            <w:tcW w:type="dxa" w:w="386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NOTES</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Conference programming (ADW Pro + Lab)</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2,500,000</w:t>
            </w:r>
          </w:p>
        </w:tc>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Speaker fees, travel, production of 50+ sessions across both cities, ADW Lab Village fit-out.</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Festival curation &amp; venue coordination</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3,000,000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Curation fees for partner festival series (Kunye, DITC, Bread 4 Soul, Sondela), venue uplift grants, co-promotion spend.</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Artist fees &amp; travel</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4,000,000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International headliners (2–3), ADE ambassador flights &amp; accommodation, local artist fees topped up above venue standard.</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Production (stages, sound, lighting, rigging)</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5,000,000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Delivered by The Rockets Group and DiscovrTV at preferential rates. Covers hero stage builds and venue production uplift.</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Marketing, PR &amp; content</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4,000,000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National and international campaign, PR retainer, content production for partners, influencer fees, documentary commissioning.</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Technology platform (ADW Connect app, ticketing, CRM)</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2,000,000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Built on existing DanceAfrika Firebase stack; primarily cost of three additional engineers and a product lead for 8 months.</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ADW Awards broadcast</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2,000,000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Awards night production, broadcast partner integration, trophies, voting platform, after-party.</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Operations, legal, accounting, team</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3,000,000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Core team of 6–8 FTEs for 8 months (programme director, ops, partnerships, comms, finance, creative). Legal and accounting retainers.</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ADW Safe (harm reduction)</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500,000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Partnerships with SANCA, MOSAIC. On-site medical at partner venues above minimum statutory.</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Measurement &amp; post-event research</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700,000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Kantar brand lift study (Heineken deliverable), tourism economic impact assessment, sponsorship valuation report.</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ADW Fund (artist &amp; venue grants)</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800,000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Year 1 grant pool — see Section 6. Seeds the local-industry-empowerment narrative credibly.</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Contingency (~10%)</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2,500,000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First-year events always encounter cost overruns. 10% is tight but defensible given the cost-plus arrangements with Rockets Group and DiscovrTV.</w:t>
            </w:r>
          </w:p>
        </w:tc>
      </w:tr>
      <w:tr>
        <w:tc>
          <w:tcPr>
            <w:tcW w:type="dxa" w:w="350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TOTAL YEAR 1 BUDGET</w:t>
            </w:r>
          </w:p>
        </w:tc>
        <w:tc>
          <w:tcPr>
            <w:tcW w:type="dxa" w:w="200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right"/>
            </w:pPr>
            <w:r>
              <w:rPr>
                <w:rFonts w:ascii="Calibri" w:cs="Calibri" w:eastAsia="Calibri" w:hAnsi="Calibri"/>
                <w:b/>
                <w:bCs/>
                <w:color w:val="FFFFFF"/>
                <w:sz w:val="20"/>
                <w:szCs w:val="20"/>
              </w:rPr>
              <w:t xml:space="preserve">28,000,000</w:t>
            </w:r>
          </w:p>
        </w:tc>
        <w:tc>
          <w:tcPr>
            <w:tcW w:type="dxa" w:w="386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 </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pPr>
        <w:pStyle w:val="Heading3"/>
        <w:spacing w:after="100" w:before="220"/>
      </w:pPr>
      <w:r>
        <w:rPr>
          <w:rFonts w:ascii="Calibri" w:cs="Calibri" w:eastAsia="Calibri" w:hAnsi="Calibri"/>
          <w:b/>
          <w:bCs/>
          <w:color w:val="E11D2E"/>
          <w:sz w:val="24"/>
          <w:szCs w:val="24"/>
        </w:rPr>
        <w:t xml:space="preserve">5.2 Revenue 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000"/>
        <w:gridCol w:w="3860"/>
      </w:tblGrid>
      <w:tr>
        <w:trPr>
          <w:tblHeader/>
        </w:trPr>
        <w:tc>
          <w:tcPr>
            <w:tcW w:type="dxa" w:w="35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REVENUE LINE</w:t>
            </w:r>
          </w:p>
        </w:tc>
        <w:tc>
          <w:tcPr>
            <w:tcW w:type="dxa" w:w="20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right"/>
            </w:pPr>
            <w:r>
              <w:rPr>
                <w:rFonts w:ascii="Calibri" w:cs="Calibri" w:eastAsia="Calibri" w:hAnsi="Calibri"/>
                <w:b/>
                <w:bCs/>
                <w:color w:val="FFFFFF"/>
                <w:sz w:val="20"/>
                <w:szCs w:val="20"/>
              </w:rPr>
              <w:t xml:space="preserve">TARGET (R, EX-VAT)</w:t>
            </w:r>
          </w:p>
        </w:tc>
        <w:tc>
          <w:tcPr>
            <w:tcW w:type="dxa" w:w="386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STATUS / NOTES</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Main partner (Heineken target)</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10,000,000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Target close: end June 2026. Category-exclusive premium beer.</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Johannesburg Tourism + Cape Town Tourism</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5,000,000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Split ~R2M JHB / R3M CT. Tourism-economy ROI case. Target close: end July.</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Telco partner (MTN / Vodacom / Telkom target)</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5,000,000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Connectivity, streaming, data-driven youth marketing. Category-exclusive.</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Streaming / media partner (Spotify, Apple, Boomplay target)</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3,000,000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Content rights, editorial, playlist support. Cash + barter mix.</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Tier-2 brand partners (4–6)</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6,000,000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R1–1.5M each. Candidates: G-Star Raw, automotive, fintech, fashion, travel, tech hardware.</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Conference delegate passes</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3,000,000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Mix: R3,500 early bird / R5,500 standard / R8,500 Pro+. 700 delegates avg R4,300.</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Festival ticket share (10% platform fee)</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2,000,000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Aggregated across 60–80 events sold via ADW ticketing.</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Grant funding (NAC, DTIC, Events Tourism)</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1,500,000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Critical for industry-empowerment credibility and for BEE scoring.</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Rights body partnership (SAMRO, CAPASSO — founding partner)</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1,500,000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Mirroring BumaStemra at ADE. Long conversation, probably Year 2 close — carry cautiously in Year 1 forecast.</w:t>
            </w:r>
          </w:p>
        </w:tc>
      </w:tr>
      <w:tr>
        <w:tc>
          <w:tcPr>
            <w:tcW w:type="dxa" w:w="3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Merchandising &amp; hospitality</w:t>
            </w:r>
          </w:p>
        </w:tc>
        <w:tc>
          <w:tcPr>
            <w:tcW w:type="dxa" w:w="20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right"/>
            </w:pPr>
            <w:r>
              <w:rPr>
                <w:rFonts w:ascii="Calibri" w:cs="Calibri" w:eastAsia="Calibri" w:hAnsi="Calibri"/>
                <w:b w:val="false"/>
                <w:bCs w:val="false"/>
                <w:color w:val="1A1A1A"/>
                <w:sz w:val="20"/>
                <w:szCs w:val="20"/>
              </w:rPr>
              <w:t xml:space="preserve">1,000,000</w:t>
            </w:r>
          </w:p>
        </w:tc>
        <w:tc>
          <w:tcPr>
            <w:tcW w:type="dxa" w:w="3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Official merchandise and a small-scale hospitality programme for partners and buyers.</w:t>
            </w:r>
          </w:p>
        </w:tc>
      </w:tr>
      <w:tr>
        <w:tc>
          <w:tcPr>
            <w:tcW w:type="dxa" w:w="350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TOTAL YEAR 1 REVENUE TARGET</w:t>
            </w:r>
          </w:p>
        </w:tc>
        <w:tc>
          <w:tcPr>
            <w:tcW w:type="dxa" w:w="200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right"/>
            </w:pPr>
            <w:r>
              <w:rPr>
                <w:rFonts w:ascii="Calibri" w:cs="Calibri" w:eastAsia="Calibri" w:hAnsi="Calibri"/>
                <w:b/>
                <w:bCs/>
                <w:color w:val="FFFFFF"/>
                <w:sz w:val="20"/>
                <w:szCs w:val="20"/>
              </w:rPr>
              <w:t xml:space="preserve">38,000,000</w:t>
            </w:r>
          </w:p>
        </w:tc>
        <w:tc>
          <w:tcPr>
            <w:tcW w:type="dxa" w:w="386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 </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Surplus reinvested into Year 2 / ADW Fund</w:t>
            </w:r>
          </w:p>
        </w:tc>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right"/>
            </w:pPr>
            <w:r>
              <w:rPr>
                <w:rFonts w:ascii="Calibri" w:cs="Calibri" w:eastAsia="Calibri" w:hAnsi="Calibri"/>
                <w:b/>
                <w:bCs/>
                <w:color w:val="1A1A1A"/>
                <w:sz w:val="20"/>
                <w:szCs w:val="20"/>
              </w:rPr>
              <w:t xml:space="preserve">10,000,000</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Non-distributable — locked for growth and community reinvestment.</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pPr>
        <w:pStyle w:val="Heading3"/>
        <w:spacing w:after="100" w:before="220"/>
      </w:pPr>
      <w:r>
        <w:rPr>
          <w:rFonts w:ascii="Calibri" w:cs="Calibri" w:eastAsia="Calibri" w:hAnsi="Calibri"/>
          <w:b/>
          <w:bCs/>
          <w:color w:val="E11D2E"/>
          <w:sz w:val="24"/>
          <w:szCs w:val="24"/>
        </w:rPr>
        <w:t xml:space="preserve">5.3 The cash-flow reality check</w:t>
      </w:r>
    </w:p>
    <w:p>
      <w:pPr>
        <w:spacing w:after="140" w:before="0" w:line="300"/>
        <w:jc w:val="left"/>
      </w:pPr>
      <w:r>
        <w:rPr>
          <w:rFonts w:ascii="Calibri" w:cs="Calibri" w:eastAsia="Calibri" w:hAnsi="Calibri"/>
          <w:b w:val="false"/>
          <w:bCs w:val="false"/>
          <w:i w:val="false"/>
          <w:iCs w:val="false"/>
          <w:color w:val="1A1A1A"/>
          <w:sz w:val="22"/>
          <w:szCs w:val="22"/>
        </w:rPr>
        <w:t xml:space="preserve">The critical cash-flow constraint is that 50–60% of costs hit in November–December 2026, while the majority of revenue lands July–October 2026 if partnership conversations close on plan. Ticket revenue lands October–December. ADW will need either a working capital facility of roughly R8M for October–December, or deposit-structured partner agreements that advance-pay 40% at signature. The latter is cleaner and is how ADE structures its deals.</w:t>
      </w:r>
    </w:p>
    <w:p>
      <w:pPr>
        <w:spacing w:after="140" w:before="0" w:line="300"/>
        <w:jc w:val="left"/>
      </w:pPr>
      <w:r>
        <w:rPr>
          <w:rFonts w:ascii="Calibri" w:cs="Calibri" w:eastAsia="Calibri" w:hAnsi="Calibri"/>
          <w:b w:val="false"/>
          <w:bCs w:val="false"/>
          <w:i w:val="false"/>
          <w:iCs w:val="false"/>
          <w:color w:val="1A1A1A"/>
          <w:sz w:val="22"/>
          <w:szCs w:val="22"/>
        </w:rPr>
        <w:t xml:space="preserve">Operating the event through Rockets Establishments (Pty) Ltd or a newly-incorporated ADW (Pty) Ltd is a decision to make by end of May 2026. A dedicated entity is strongly preferable for partner-confidence and for ringfencing liability; the incorporation is trivial and the cost of doing it late is higher than the cost of doing it now.</w:t>
      </w:r>
    </w:p>
    <w:p>
      <w:r>
        <w:br w:type="page"/>
      </w:r>
    </w:p>
    <w:p>
      <w:pPr>
        <w:pStyle w:val="Heading1"/>
        <w:spacing w:after="200" w:before="400"/>
      </w:pPr>
      <w:r>
        <w:rPr>
          <w:rFonts w:ascii="Calibri" w:cs="Calibri" w:eastAsia="Calibri" w:hAnsi="Calibri"/>
          <w:b/>
          <w:bCs/>
          <w:color w:val="1A1A1A"/>
          <w:sz w:val="36"/>
          <w:szCs w:val="36"/>
        </w:rPr>
        <w:t xml:space="preserve">6. Empowering the local industry</w:t>
      </w:r>
    </w:p>
    <w:p>
      <w:pPr>
        <w:spacing w:after="140" w:before="0" w:line="300"/>
        <w:jc w:val="left"/>
      </w:pPr>
      <w:r>
        <w:rPr>
          <w:rFonts w:ascii="Calibri" w:cs="Calibri" w:eastAsia="Calibri" w:hAnsi="Calibri"/>
          <w:b w:val="false"/>
          <w:bCs w:val="false"/>
          <w:i w:val="false"/>
          <w:iCs w:val="false"/>
          <w:color w:val="1A1A1A"/>
          <w:sz w:val="22"/>
          <w:szCs w:val="22"/>
        </w:rPr>
        <w:t xml:space="preserve">This section is not a CSR section. It is the strategic core of ADW's differentiation from any imported or franchised festival format. ADE is embedded in the Amsterdam industry because BumaStemra is a founding partner, because every major Dutch venue is represented, because Dutch rights organisations and music-school conservatories sit on its board. ADW's equivalent embeddedness is what will either make it the defining South African music property of the next decade, or let it drift into being a flashy foreign-looking event that the local industry resents.</w:t>
      </w:r>
    </w:p>
    <w:p>
      <w:pPr>
        <w:spacing w:after="140" w:before="0" w:line="300"/>
        <w:jc w:val="left"/>
      </w:pPr>
      <w:r>
        <w:rPr>
          <w:rFonts w:ascii="Calibri" w:cs="Calibri" w:eastAsia="Calibri" w:hAnsi="Calibri"/>
          <w:b w:val="false"/>
          <w:bCs w:val="false"/>
          <w:i w:val="false"/>
          <w:iCs w:val="false"/>
          <w:color w:val="1A1A1A"/>
          <w:sz w:val="22"/>
          <w:szCs w:val="22"/>
        </w:rPr>
        <w:t xml:space="preserve">The mechanisms below are the non-negotiable empowerment pillars. Year 1 scopes are deliberately modest and deliverable; the point is to establish each as a credible programme that will scale in Years 2 and 3.</w:t>
      </w:r>
    </w:p>
    <w:p>
      <w:pPr>
        <w:pStyle w:val="Heading3"/>
        <w:spacing w:after="100" w:before="220"/>
      </w:pPr>
      <w:r>
        <w:rPr>
          <w:rFonts w:ascii="Calibri" w:cs="Calibri" w:eastAsia="Calibri" w:hAnsi="Calibri"/>
          <w:b/>
          <w:bCs/>
          <w:color w:val="E11D2E"/>
          <w:sz w:val="24"/>
          <w:szCs w:val="24"/>
        </w:rPr>
        <w:t xml:space="preserve">6.1 ADW Lab — free and subsidised creator programming</w:t>
      </w:r>
    </w:p>
    <w:p>
      <w:pPr>
        <w:spacing w:after="140" w:before="0" w:line="300"/>
        <w:jc w:val="left"/>
      </w:pPr>
      <w:r>
        <w:rPr>
          <w:rFonts w:ascii="Calibri" w:cs="Calibri" w:eastAsia="Calibri" w:hAnsi="Calibri"/>
          <w:b w:val="false"/>
          <w:bCs w:val="false"/>
          <w:i w:val="false"/>
          <w:iCs w:val="false"/>
          <w:color w:val="1A1A1A"/>
          <w:sz w:val="22"/>
          <w:szCs w:val="22"/>
        </w:rPr>
        <w:t xml:space="preserve">Modelled directly on the ADE Lab Village. Fifteen to twenty masterclasses and workshops across three days in Johannesburg, free or heavily subsidised for emerging artists and producers. Gear test lab hosted with Pioneer DJ and Native Instruments as likely partners. A dedicated demo-drop night where 40 selected artists get seven minutes each in front of a panel of label A&amp;R, festival buyers and ADE ambassadors. The Incepted-style bootcamp: twelve selected artists, four days of mentored studio work culminating in a collaborative EP released on a DanceAfrika sub-label, with a performance slot at the ADW closing showcase in Cape Town.</w:t>
      </w:r>
    </w:p>
    <w:p>
      <w:pPr>
        <w:pStyle w:val="Heading3"/>
        <w:spacing w:after="100" w:before="220"/>
      </w:pPr>
      <w:r>
        <w:rPr>
          <w:rFonts w:ascii="Calibri" w:cs="Calibri" w:eastAsia="Calibri" w:hAnsi="Calibri"/>
          <w:b/>
          <w:bCs/>
          <w:color w:val="E11D2E"/>
          <w:sz w:val="24"/>
          <w:szCs w:val="24"/>
        </w:rPr>
        <w:t xml:space="preserve">6.2 ADW Fund — grants for artists, venues and partner festivals</w:t>
      </w:r>
    </w:p>
    <w:p>
      <w:pPr>
        <w:spacing w:after="140" w:before="0" w:line="300"/>
        <w:jc w:val="left"/>
      </w:pPr>
      <w:r>
        <w:rPr>
          <w:rFonts w:ascii="Calibri" w:cs="Calibri" w:eastAsia="Calibri" w:hAnsi="Calibri"/>
          <w:b w:val="false"/>
          <w:bCs w:val="false"/>
          <w:i w:val="false"/>
          <w:iCs w:val="false"/>
          <w:color w:val="1A1A1A"/>
          <w:sz w:val="22"/>
          <w:szCs w:val="22"/>
        </w:rPr>
        <w:t xml:space="preserve">A ringfenced grant pool of R800,000 in Year 1, growing to R3M in Year 2 and R7M+ in Year 3. Three streams:</w:t>
      </w:r>
    </w:p>
    <w:p>
      <w:pPr>
        <w:pStyle w:val="ListParagraph"/>
        <w:numPr>
          <w:ilvl w:val="0"/>
          <w:numId w:val="2"/>
        </w:numPr>
        <w:spacing w:after="80" w:line="280"/>
      </w:pPr>
      <w:r>
        <w:rPr>
          <w:rFonts w:ascii="Calibri" w:cs="Calibri" w:eastAsia="Calibri" w:hAnsi="Calibri"/>
          <w:color w:val="1A1A1A"/>
          <w:sz w:val="22"/>
          <w:szCs w:val="22"/>
        </w:rPr>
        <w:t xml:space="preserve">Artist grants: ten awards of R30,000 each, open to emerging artists for recording, distribution or live-show development. Review panel includes ADE ambassadors and established SA producers.</w:t>
      </w:r>
    </w:p>
    <w:p>
      <w:pPr>
        <w:pStyle w:val="ListParagraph"/>
        <w:numPr>
          <w:ilvl w:val="0"/>
          <w:numId w:val="2"/>
        </w:numPr>
        <w:spacing w:after="80" w:line="280"/>
      </w:pPr>
      <w:r>
        <w:rPr>
          <w:rFonts w:ascii="Calibri" w:cs="Calibri" w:eastAsia="Calibri" w:hAnsi="Calibri"/>
          <w:color w:val="1A1A1A"/>
          <w:sz w:val="22"/>
          <w:szCs w:val="22"/>
        </w:rPr>
        <w:t xml:space="preserve">Venue uplift grants: five awards of R50,000 each for smaller independent venues to upgrade sound, lighting or accessibility infrastructure. Tied to the Accredited Venue programme (below).</w:t>
      </w:r>
    </w:p>
    <w:p>
      <w:pPr>
        <w:pStyle w:val="ListParagraph"/>
        <w:numPr>
          <w:ilvl w:val="0"/>
          <w:numId w:val="2"/>
        </w:numPr>
        <w:spacing w:after="80" w:line="280"/>
      </w:pPr>
      <w:r>
        <w:rPr>
          <w:rFonts w:ascii="Calibri" w:cs="Calibri" w:eastAsia="Calibri" w:hAnsi="Calibri"/>
          <w:color w:val="1A1A1A"/>
          <w:sz w:val="22"/>
          <w:szCs w:val="22"/>
        </w:rPr>
        <w:t xml:space="preserve">Partner festival fund: three awards of R80,000 each for independent SA festivals (Deep in the City, Mayonie, Bread 4 Soul, Descendants, Sondela and others) to run co-branded ADW stages within their own events during the year.</w:t>
      </w:r>
    </w:p>
    <w:p>
      <w:pPr>
        <w:pStyle w:val="Heading3"/>
        <w:spacing w:after="100" w:before="220"/>
      </w:pPr>
      <w:r>
        <w:rPr>
          <w:rFonts w:ascii="Calibri" w:cs="Calibri" w:eastAsia="Calibri" w:hAnsi="Calibri"/>
          <w:b/>
          <w:bCs/>
          <w:color w:val="E11D2E"/>
          <w:sz w:val="24"/>
          <w:szCs w:val="24"/>
        </w:rPr>
        <w:t xml:space="preserve">6.3 ADW Accredited Venue programme</w:t>
      </w:r>
    </w:p>
    <w:p>
      <w:pPr>
        <w:spacing w:after="140" w:before="0" w:line="300"/>
        <w:jc w:val="left"/>
      </w:pPr>
      <w:r>
        <w:rPr>
          <w:rFonts w:ascii="Calibri" w:cs="Calibri" w:eastAsia="Calibri" w:hAnsi="Calibri"/>
          <w:b w:val="false"/>
          <w:bCs w:val="false"/>
          <w:i w:val="false"/>
          <w:iCs w:val="false"/>
          <w:color w:val="1A1A1A"/>
          <w:sz w:val="22"/>
          <w:szCs w:val="22"/>
        </w:rPr>
        <w:t xml:space="preserve">A standards framework for venues wanting to host ADW-branded events. Covers production minimums (sound, lighting, staging), safety minimums (medical on site, trained door staff, accessible facilities), commercial minimums (artist payment terms, transparent ticketing), and harm-reduction minimums (ADW Safe signage, drug-checking access where legal, welfare facilities). Year 1: the 12 host venues are the founding accredited cohort. Year 2: the programme opens to any South African venue that applies and passes audit — turning ADW Accreditation into a long-term industry-standards benchmark.</w:t>
      </w:r>
    </w:p>
    <w:p>
      <w:pPr>
        <w:pStyle w:val="Heading3"/>
        <w:spacing w:after="100" w:before="220"/>
      </w:pPr>
      <w:r>
        <w:rPr>
          <w:rFonts w:ascii="Calibri" w:cs="Calibri" w:eastAsia="Calibri" w:hAnsi="Calibri"/>
          <w:b/>
          <w:bCs/>
          <w:color w:val="E11D2E"/>
          <w:sz w:val="24"/>
          <w:szCs w:val="24"/>
        </w:rPr>
        <w:t xml:space="preserve">6.4 Rights body founding partnership</w:t>
      </w:r>
    </w:p>
    <w:p>
      <w:pPr>
        <w:spacing w:after="140" w:before="0" w:line="300"/>
        <w:jc w:val="left"/>
      </w:pPr>
      <w:r>
        <w:rPr>
          <w:rFonts w:ascii="Calibri" w:cs="Calibri" w:eastAsia="Calibri" w:hAnsi="Calibri"/>
          <w:b w:val="false"/>
          <w:bCs w:val="false"/>
          <w:i w:val="false"/>
          <w:iCs w:val="false"/>
          <w:color w:val="1A1A1A"/>
          <w:sz w:val="22"/>
          <w:szCs w:val="22"/>
        </w:rPr>
        <w:t xml:space="preserve">South Africa's rights organisations — SAMRO, CAPASSO, SAMPRA, RISA — are the local equivalents of BumaStemra. A founding-partner agreement with one or more of these, on the model of BumaStemra's relationship with ADE, would signal genuine industry embeddedness and would unlock co-funded programming on music publishing, rights education for artists, and royalty transparency. The conversation is slower than commercial partner conversations; realistic close is Year 2, but the opening meeting needs to happen in May 2026.</w:t>
      </w:r>
    </w:p>
    <w:p>
      <w:pPr>
        <w:pStyle w:val="Heading3"/>
        <w:spacing w:after="100" w:before="220"/>
      </w:pPr>
      <w:r>
        <w:rPr>
          <w:rFonts w:ascii="Calibri" w:cs="Calibri" w:eastAsia="Calibri" w:hAnsi="Calibri"/>
          <w:b/>
          <w:bCs/>
          <w:color w:val="E11D2E"/>
          <w:sz w:val="24"/>
          <w:szCs w:val="24"/>
        </w:rPr>
        <w:t xml:space="preserve">6.5 Partner festival programme</w:t>
      </w:r>
    </w:p>
    <w:p>
      <w:pPr>
        <w:spacing w:after="140" w:before="0" w:line="300"/>
        <w:jc w:val="left"/>
      </w:pPr>
      <w:r>
        <w:rPr>
          <w:rFonts w:ascii="Calibri" w:cs="Calibri" w:eastAsia="Calibri" w:hAnsi="Calibri"/>
          <w:b w:val="false"/>
          <w:bCs w:val="false"/>
          <w:i w:val="false"/>
          <w:iCs w:val="false"/>
          <w:color w:val="1A1A1A"/>
          <w:sz w:val="22"/>
          <w:szCs w:val="22"/>
        </w:rPr>
        <w:t xml:space="preserve">The existing SA festival ecosystem (the eleven festivals listed in the existing ADW pitch deck and a handful of others) is ADW's single biggest asset and its single biggest political risk. Treated well, these festivals become ADW's venue network and cultural endorsers. Treated badly, they become the critics who sink the property. The partner festival programme offers each confirmed festival:</w:t>
      </w:r>
    </w:p>
    <w:p>
      <w:pPr>
        <w:pStyle w:val="ListParagraph"/>
        <w:numPr>
          <w:ilvl w:val="0"/>
          <w:numId w:val="2"/>
        </w:numPr>
        <w:spacing w:after="80" w:line="280"/>
      </w:pPr>
      <w:r>
        <w:rPr>
          <w:rFonts w:ascii="Calibri" w:cs="Calibri" w:eastAsia="Calibri" w:hAnsi="Calibri"/>
          <w:color w:val="1A1A1A"/>
          <w:sz w:val="22"/>
          <w:szCs w:val="22"/>
        </w:rPr>
        <w:t xml:space="preserve">Co-branded ADW stage or event slot during their own dates, with ADW providing production uplift and cross-marketing.</w:t>
      </w:r>
    </w:p>
    <w:p>
      <w:pPr>
        <w:pStyle w:val="ListParagraph"/>
        <w:numPr>
          <w:ilvl w:val="0"/>
          <w:numId w:val="2"/>
        </w:numPr>
        <w:spacing w:after="80" w:line="280"/>
      </w:pPr>
      <w:r>
        <w:rPr>
          <w:rFonts w:ascii="Calibri" w:cs="Calibri" w:eastAsia="Calibri" w:hAnsi="Calibri"/>
          <w:color w:val="1A1A1A"/>
          <w:sz w:val="22"/>
          <w:szCs w:val="22"/>
        </w:rPr>
        <w:t xml:space="preserve">Guaranteed delegate access for their founders, bookers and key talent (3 passes per festival).</w:t>
      </w:r>
    </w:p>
    <w:p>
      <w:pPr>
        <w:pStyle w:val="ListParagraph"/>
        <w:numPr>
          <w:ilvl w:val="0"/>
          <w:numId w:val="2"/>
        </w:numPr>
        <w:spacing w:after="80" w:line="280"/>
      </w:pPr>
      <w:r>
        <w:rPr>
          <w:rFonts w:ascii="Calibri" w:cs="Calibri" w:eastAsia="Calibri" w:hAnsi="Calibri"/>
          <w:color w:val="1A1A1A"/>
          <w:sz w:val="22"/>
          <w:szCs w:val="22"/>
        </w:rPr>
        <w:t xml:space="preserve">Eligibility for the ADW Fund partner festival stream.</w:t>
      </w:r>
    </w:p>
    <w:p>
      <w:pPr>
        <w:pStyle w:val="ListParagraph"/>
        <w:numPr>
          <w:ilvl w:val="0"/>
          <w:numId w:val="2"/>
        </w:numPr>
        <w:spacing w:after="80" w:line="280"/>
      </w:pPr>
      <w:r>
        <w:rPr>
          <w:rFonts w:ascii="Calibri" w:cs="Calibri" w:eastAsia="Calibri" w:hAnsi="Calibri"/>
          <w:color w:val="1A1A1A"/>
          <w:sz w:val="22"/>
          <w:szCs w:val="22"/>
        </w:rPr>
        <w:t xml:space="preserve">Featured listing and ticketing integration on the ADW Connect platform.</w:t>
      </w:r>
    </w:p>
    <w:p>
      <w:pPr>
        <w:pStyle w:val="ListParagraph"/>
        <w:numPr>
          <w:ilvl w:val="0"/>
          <w:numId w:val="2"/>
        </w:numPr>
        <w:spacing w:after="80" w:line="280"/>
      </w:pPr>
      <w:r>
        <w:rPr>
          <w:rFonts w:ascii="Calibri" w:cs="Calibri" w:eastAsia="Calibri" w:hAnsi="Calibri"/>
          <w:color w:val="1A1A1A"/>
          <w:sz w:val="22"/>
          <w:szCs w:val="22"/>
        </w:rPr>
        <w:t xml:space="preserve">Participation in the ADW Awards voting body.</w:t>
      </w:r>
    </w:p>
    <w:p>
      <w:pPr>
        <w:spacing w:after="140" w:before="0" w:line="300"/>
        <w:jc w:val="left"/>
      </w:pPr>
      <w:r>
        <w:rPr>
          <w:rFonts w:ascii="Calibri" w:cs="Calibri" w:eastAsia="Calibri" w:hAnsi="Calibri"/>
          <w:b w:val="false"/>
          <w:bCs w:val="false"/>
          <w:i w:val="false"/>
          <w:iCs w:val="false"/>
          <w:color w:val="1A1A1A"/>
          <w:sz w:val="22"/>
          <w:szCs w:val="22"/>
        </w:rPr>
        <w:t xml:space="preserve">In return: each festival commits to not running competing flagship events during ADW week, to adopting ADW Accredited Venue standards within 18 months, and to carrying ADW branding on their own channels. This is a mutual-benefit structure, not a patronage structure.</w:t>
      </w:r>
    </w:p>
    <w:p>
      <w:pPr>
        <w:pStyle w:val="Heading3"/>
        <w:spacing w:after="100" w:before="220"/>
      </w:pPr>
      <w:r>
        <w:rPr>
          <w:rFonts w:ascii="Calibri" w:cs="Calibri" w:eastAsia="Calibri" w:hAnsi="Calibri"/>
          <w:b/>
          <w:bCs/>
          <w:color w:val="E11D2E"/>
          <w:sz w:val="24"/>
          <w:szCs w:val="24"/>
        </w:rPr>
        <w:t xml:space="preserve">6.6 International exchange</w:t>
      </w:r>
    </w:p>
    <w:p>
      <w:pPr>
        <w:spacing w:after="140" w:before="0" w:line="300"/>
        <w:jc w:val="left"/>
      </w:pPr>
      <w:r>
        <w:rPr>
          <w:rFonts w:ascii="Calibri" w:cs="Calibri" w:eastAsia="Calibri" w:hAnsi="Calibri"/>
          <w:b w:val="false"/>
          <w:bCs w:val="false"/>
          <w:i w:val="false"/>
          <w:iCs w:val="false"/>
          <w:color w:val="1A1A1A"/>
          <w:sz w:val="22"/>
          <w:szCs w:val="22"/>
        </w:rPr>
        <w:t xml:space="preserve">Two-way exchange with ADE, starting Year 1. ADW sends five South African artists to perform at ADE Amsterdam in October 2026 (aligning with ADE's Sub-Saharan Africa focus theme), with flights and showcase slots supported jointly by ADW and ADE. ADE sends a reciprocal delegation of five artists and a conference panel to ADW in December 2026. Year 2: the exchange expands to include label partnerships and a shared A&amp;R programme. Year 3: full two-way residency programme with third-city partners (IMS Ibiza, Miami Music Week, Sónar Barcelona).</w:t>
      </w:r>
    </w:p>
    <w:p>
      <w:pPr>
        <w:pStyle w:val="Heading3"/>
        <w:spacing w:after="100" w:before="220"/>
      </w:pPr>
      <w:r>
        <w:rPr>
          <w:rFonts w:ascii="Calibri" w:cs="Calibri" w:eastAsia="Calibri" w:hAnsi="Calibri"/>
          <w:b/>
          <w:bCs/>
          <w:color w:val="E11D2E"/>
          <w:sz w:val="24"/>
          <w:szCs w:val="24"/>
        </w:rPr>
        <w:t xml:space="preserve">6.7 Production crew training &amp; certification</w:t>
      </w:r>
    </w:p>
    <w:p>
      <w:pPr>
        <w:spacing w:after="140" w:before="0" w:line="300"/>
        <w:jc w:val="left"/>
      </w:pPr>
      <w:r>
        <w:rPr>
          <w:rFonts w:ascii="Calibri" w:cs="Calibri" w:eastAsia="Calibri" w:hAnsi="Calibri"/>
          <w:b w:val="false"/>
          <w:bCs w:val="false"/>
          <w:i w:val="false"/>
          <w:iCs w:val="false"/>
          <w:color w:val="1A1A1A"/>
          <w:sz w:val="22"/>
          <w:szCs w:val="22"/>
        </w:rPr>
        <w:t xml:space="preserve">A consistently-overlooked part of the SA industry: the sound engineers, lighting designers, riggers, stage managers and technical directors who make events happen. ADW commits in Year 1 to a pilot certification programme (ten technicians, funded partnership with a TVET college), expanding to 50 technicians in Year 2 and 200+ in Year 3. Certification is tied to the Accredited Venue programme — accredited venues are required to employ certified crew. This is the quiet mechanism that actually professionalises the industry.</w:t>
      </w:r>
    </w:p>
    <w:p>
      <w:pPr>
        <w:pStyle w:val="Heading3"/>
        <w:spacing w:after="100" w:before="220"/>
      </w:pPr>
      <w:r>
        <w:rPr>
          <w:rFonts w:ascii="Calibri" w:cs="Calibri" w:eastAsia="Calibri" w:hAnsi="Calibri"/>
          <w:b/>
          <w:bCs/>
          <w:color w:val="E11D2E"/>
          <w:sz w:val="24"/>
          <w:szCs w:val="24"/>
        </w:rPr>
        <w:t xml:space="preserve">6.8 Creator economy — distribution, licensing, publishing</w:t>
      </w:r>
    </w:p>
    <w:p>
      <w:pPr>
        <w:spacing w:after="140" w:before="0" w:line="300"/>
        <w:jc w:val="left"/>
      </w:pPr>
      <w:r>
        <w:rPr>
          <w:rFonts w:ascii="Calibri" w:cs="Calibri" w:eastAsia="Calibri" w:hAnsi="Calibri"/>
          <w:b w:val="false"/>
          <w:bCs w:val="false"/>
          <w:i w:val="false"/>
          <w:iCs w:val="false"/>
          <w:color w:val="1A1A1A"/>
          <w:sz w:val="22"/>
          <w:szCs w:val="22"/>
        </w:rPr>
        <w:t xml:space="preserve">Paradise Distribution and Interscore are already committed as infrastructure partners. ADW extends this into a creator-economy stack embedded in ADW Connect: any artist with an ADW Lab profile can link directly to Paradise for distribution, to Interscore for licensing, to SAMRO for publishing and to CAPASSO for needletime royalties. The platform becomes a one-stop compliance and monetisation layer for an industry where most emerging artists are currently outside the formal rights infrastructure entirely.</w:t>
      </w:r>
    </w:p>
    <w:p>
      <w:r>
        <w:br w:type="page"/>
      </w:r>
    </w:p>
    <w:p>
      <w:pPr>
        <w:pStyle w:val="Heading1"/>
        <w:spacing w:after="200" w:before="400"/>
      </w:pPr>
      <w:r>
        <w:rPr>
          <w:rFonts w:ascii="Calibri" w:cs="Calibri" w:eastAsia="Calibri" w:hAnsi="Calibri"/>
          <w:b/>
          <w:bCs/>
          <w:color w:val="1A1A1A"/>
          <w:sz w:val="36"/>
          <w:szCs w:val="36"/>
        </w:rPr>
        <w:t xml:space="preserve">7. Eight-month build timeline</w:t>
      </w:r>
    </w:p>
    <w:p>
      <w:pPr>
        <w:spacing w:after="140" w:before="0" w:line="300"/>
        <w:jc w:val="left"/>
      </w:pPr>
      <w:r>
        <w:rPr>
          <w:rFonts w:ascii="Calibri" w:cs="Calibri" w:eastAsia="Calibri" w:hAnsi="Calibri"/>
          <w:b w:val="false"/>
          <w:bCs w:val="false"/>
          <w:i w:val="false"/>
          <w:iCs w:val="false"/>
          <w:color w:val="1A1A1A"/>
          <w:sz w:val="22"/>
          <w:szCs w:val="22"/>
        </w:rPr>
        <w:t xml:space="preserve">The plan below is written assuming a green light on this strategy by end of April 2026. It is tight but deliverable — the key dependency is closing the main partner term sheet by end of May, because most subsequent milestones are gated on either the main partner signing or the main partner announcement.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MONTH</w:t>
            </w:r>
          </w:p>
        </w:tc>
        <w:tc>
          <w:tcPr>
            <w:tcW w:type="dxa" w:w="786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KEY MILESTONES</w:t>
            </w:r>
          </w:p>
        </w:tc>
      </w:tr>
      <w:tr>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APR 2026
(FOUNDATION)</w:t>
            </w:r>
          </w:p>
        </w:tc>
        <w:tc>
          <w:tcPr>
            <w:tcW w:type="dxa" w:w="7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Incorporate ADW (Pty) Ltd or confirm operating entity.</w:t>
            </w:r>
          </w:p>
          <w:p>
            <w:pPr>
              <w:spacing w:after="60" w:line="260"/>
              <w:jc w:val="left"/>
            </w:pPr>
            <w:r>
              <w:rPr>
                <w:rFonts w:ascii="Calibri" w:cs="Calibri" w:eastAsia="Calibri" w:hAnsi="Calibri"/>
                <w:b w:val="false"/>
                <w:bCs w:val="false"/>
                <w:color w:val="1A1A1A"/>
                <w:sz w:val="20"/>
                <w:szCs w:val="20"/>
              </w:rPr>
              <w:t xml:space="preserve">Appoint programme director and core team (6–8 FTEs).</w:t>
            </w:r>
          </w:p>
          <w:p>
            <w:pPr>
              <w:spacing w:after="60" w:line="260"/>
              <w:jc w:val="left"/>
            </w:pPr>
            <w:r>
              <w:rPr>
                <w:rFonts w:ascii="Calibri" w:cs="Calibri" w:eastAsia="Calibri" w:hAnsi="Calibri"/>
                <w:b w:val="false"/>
                <w:bCs w:val="false"/>
                <w:color w:val="1A1A1A"/>
                <w:sz w:val="20"/>
                <w:szCs w:val="20"/>
              </w:rPr>
              <w:t xml:space="preserve">Finalise partner architecture &amp; pricing tiers.</w:t>
            </w:r>
          </w:p>
          <w:p>
            <w:pPr>
              <w:spacing w:after="60" w:line="260"/>
              <w:jc w:val="left"/>
            </w:pPr>
            <w:r>
              <w:rPr>
                <w:rFonts w:ascii="Calibri" w:cs="Calibri" w:eastAsia="Calibri" w:hAnsi="Calibri"/>
                <w:b w:val="false"/>
                <w:bCs w:val="false"/>
                <w:color w:val="1A1A1A"/>
                <w:sz w:val="20"/>
                <w:szCs w:val="20"/>
              </w:rPr>
              <w:t xml:space="preserve">Open first Heineken meeting (SA + Amsterdam teams).</w:t>
            </w:r>
          </w:p>
          <w:p>
            <w:pPr>
              <w:spacing w:after="60" w:line="260"/>
              <w:jc w:val="left"/>
            </w:pPr>
            <w:r>
              <w:rPr>
                <w:rFonts w:ascii="Calibri" w:cs="Calibri" w:eastAsia="Calibri" w:hAnsi="Calibri"/>
                <w:b w:val="false"/>
                <w:bCs w:val="false"/>
                <w:color w:val="1A1A1A"/>
                <w:sz w:val="20"/>
                <w:szCs w:val="20"/>
              </w:rPr>
              <w:t xml:space="preserve">Advisory board recruitment — aim for 7 seats.</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MAY 2026</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Main partner term sheet signed (Heineken target).</w:t>
            </w:r>
          </w:p>
          <w:p>
            <w:pPr>
              <w:spacing w:after="60" w:line="260"/>
              <w:jc w:val="left"/>
            </w:pPr>
            <w:r>
              <w:rPr>
                <w:rFonts w:ascii="Calibri" w:cs="Calibri" w:eastAsia="Calibri" w:hAnsi="Calibri"/>
                <w:b w:val="false"/>
                <w:bCs w:val="false"/>
                <w:color w:val="1A1A1A"/>
                <w:sz w:val="20"/>
                <w:szCs w:val="20"/>
              </w:rPr>
              <w:t xml:space="preserve">City Tourism conversations opened and advanced.</w:t>
            </w:r>
          </w:p>
          <w:p>
            <w:pPr>
              <w:spacing w:after="60" w:line="260"/>
              <w:jc w:val="left"/>
            </w:pPr>
            <w:r>
              <w:rPr>
                <w:rFonts w:ascii="Calibri" w:cs="Calibri" w:eastAsia="Calibri" w:hAnsi="Calibri"/>
                <w:b w:val="false"/>
                <w:bCs w:val="false"/>
                <w:color w:val="1A1A1A"/>
                <w:sz w:val="20"/>
                <w:szCs w:val="20"/>
              </w:rPr>
              <w:t xml:space="preserve">Rights body (SAMRO/CAPASSO) opening meeting.</w:t>
            </w:r>
          </w:p>
          <w:p>
            <w:pPr>
              <w:spacing w:after="60" w:line="260"/>
              <w:jc w:val="left"/>
            </w:pPr>
            <w:r>
              <w:rPr>
                <w:rFonts w:ascii="Calibri" w:cs="Calibri" w:eastAsia="Calibri" w:hAnsi="Calibri"/>
                <w:b w:val="false"/>
                <w:bCs w:val="false"/>
                <w:color w:val="1A1A1A"/>
                <w:sz w:val="20"/>
                <w:szCs w:val="20"/>
              </w:rPr>
              <w:t xml:space="preserve">Programme team onboarded; venue longlist reviewed.</w:t>
            </w:r>
          </w:p>
          <w:p>
            <w:pPr>
              <w:spacing w:after="60" w:line="260"/>
              <w:jc w:val="left"/>
            </w:pPr>
            <w:r>
              <w:rPr>
                <w:rFonts w:ascii="Calibri" w:cs="Calibri" w:eastAsia="Calibri" w:hAnsi="Calibri"/>
                <w:b w:val="false"/>
                <w:bCs w:val="false"/>
                <w:color w:val="1A1A1A"/>
                <w:sz w:val="20"/>
                <w:szCs w:val="20"/>
              </w:rPr>
              <w:t xml:space="preserve">ADE liaison established; 2026 focus-theme integration scoped.</w:t>
            </w:r>
          </w:p>
        </w:tc>
      </w:tr>
      <w:tr>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JUN 2026
(PUBLIC LAUNCH)</w:t>
            </w:r>
          </w:p>
        </w:tc>
        <w:tc>
          <w:tcPr>
            <w:tcW w:type="dxa" w:w="7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Public launch: dates announced, first artists revealed, main partner announced.</w:t>
            </w:r>
          </w:p>
          <w:p>
            <w:pPr>
              <w:spacing w:after="60" w:line="260"/>
              <w:jc w:val="left"/>
            </w:pPr>
            <w:r>
              <w:rPr>
                <w:rFonts w:ascii="Calibri" w:cs="Calibri" w:eastAsia="Calibri" w:hAnsi="Calibri"/>
                <w:b w:val="false"/>
                <w:bCs w:val="false"/>
                <w:color w:val="1A1A1A"/>
                <w:sz w:val="20"/>
                <w:szCs w:val="20"/>
              </w:rPr>
              <w:t xml:space="preserve">ADW Connect matchmaking platform goes live.</w:t>
            </w:r>
          </w:p>
          <w:p>
            <w:pPr>
              <w:spacing w:after="60" w:line="260"/>
              <w:jc w:val="left"/>
            </w:pPr>
            <w:r>
              <w:rPr>
                <w:rFonts w:ascii="Calibri" w:cs="Calibri" w:eastAsia="Calibri" w:hAnsi="Calibri"/>
                <w:b w:val="false"/>
                <w:bCs w:val="false"/>
                <w:color w:val="1A1A1A"/>
                <w:sz w:val="20"/>
                <w:szCs w:val="20"/>
              </w:rPr>
              <w:t xml:space="preserve">ADW Lab applications open (masterclasses, Incepted bootcamp, demo drops).</w:t>
            </w:r>
          </w:p>
          <w:p>
            <w:pPr>
              <w:spacing w:after="60" w:line="260"/>
              <w:jc w:val="left"/>
            </w:pPr>
            <w:r>
              <w:rPr>
                <w:rFonts w:ascii="Calibri" w:cs="Calibri" w:eastAsia="Calibri" w:hAnsi="Calibri"/>
                <w:b w:val="false"/>
                <w:bCs w:val="false"/>
                <w:color w:val="1A1A1A"/>
                <w:sz w:val="20"/>
                <w:szCs w:val="20"/>
              </w:rPr>
              <w:t xml:space="preserve">Partner festival programme applications open.</w:t>
            </w:r>
          </w:p>
          <w:p>
            <w:pPr>
              <w:spacing w:after="60" w:line="260"/>
              <w:jc w:val="left"/>
            </w:pPr>
            <w:r>
              <w:rPr>
                <w:rFonts w:ascii="Calibri" w:cs="Calibri" w:eastAsia="Calibri" w:hAnsi="Calibri"/>
                <w:b w:val="false"/>
                <w:bCs w:val="false"/>
                <w:color w:val="1A1A1A"/>
                <w:sz w:val="20"/>
                <w:szCs w:val="20"/>
              </w:rPr>
              <w:t xml:space="preserve">Early-bird delegate passes on sale.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JUL 2026
(VENUE LOCK)</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All 12–15 host venues contracted.</w:t>
            </w:r>
          </w:p>
          <w:p>
            <w:pPr>
              <w:spacing w:after="60" w:line="260"/>
              <w:jc w:val="left"/>
            </w:pPr>
            <w:r>
              <w:rPr>
                <w:rFonts w:ascii="Calibri" w:cs="Calibri" w:eastAsia="Calibri" w:hAnsi="Calibri"/>
                <w:b w:val="false"/>
                <w:bCs w:val="false"/>
                <w:color w:val="1A1A1A"/>
                <w:sz w:val="20"/>
                <w:szCs w:val="20"/>
              </w:rPr>
              <w:t xml:space="preserve">Accredited Venue audits begin.</w:t>
            </w:r>
          </w:p>
          <w:p>
            <w:pPr>
              <w:spacing w:after="60" w:line="260"/>
              <w:jc w:val="left"/>
            </w:pPr>
            <w:r>
              <w:rPr>
                <w:rFonts w:ascii="Calibri" w:cs="Calibri" w:eastAsia="Calibri" w:hAnsi="Calibri"/>
                <w:b w:val="false"/>
                <w:bCs w:val="false"/>
                <w:color w:val="1A1A1A"/>
                <w:sz w:val="20"/>
                <w:szCs w:val="20"/>
              </w:rPr>
              <w:t xml:space="preserve">Second artist tranche announced.</w:t>
            </w:r>
          </w:p>
          <w:p>
            <w:pPr>
              <w:spacing w:after="60" w:line="260"/>
              <w:jc w:val="left"/>
            </w:pPr>
            <w:r>
              <w:rPr>
                <w:rFonts w:ascii="Calibri" w:cs="Calibri" w:eastAsia="Calibri" w:hAnsi="Calibri"/>
                <w:b w:val="false"/>
                <w:bCs w:val="false"/>
                <w:color w:val="1A1A1A"/>
                <w:sz w:val="20"/>
                <w:szCs w:val="20"/>
              </w:rPr>
              <w:t xml:space="preserve">Tier-2 brand partner signings (4–6 deals).</w:t>
            </w:r>
          </w:p>
          <w:p>
            <w:pPr>
              <w:spacing w:after="60" w:line="260"/>
              <w:jc w:val="left"/>
            </w:pPr>
            <w:r>
              <w:rPr>
                <w:rFonts w:ascii="Calibri" w:cs="Calibri" w:eastAsia="Calibri" w:hAnsi="Calibri"/>
                <w:b w:val="false"/>
                <w:bCs w:val="false"/>
                <w:color w:val="1A1A1A"/>
                <w:sz w:val="20"/>
                <w:szCs w:val="20"/>
              </w:rPr>
              <w:t xml:space="preserve">Conference programme draft (session titles, speaker targets) finalised.</w:t>
            </w:r>
          </w:p>
        </w:tc>
      </w:tr>
      <w:tr>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AUG 2026</w:t>
            </w:r>
          </w:p>
        </w:tc>
        <w:tc>
          <w:tcPr>
            <w:tcW w:type="dxa" w:w="7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Telco partner signed.</w:t>
            </w:r>
          </w:p>
          <w:p>
            <w:pPr>
              <w:spacing w:after="60" w:line="260"/>
              <w:jc w:val="left"/>
            </w:pPr>
            <w:r>
              <w:rPr>
                <w:rFonts w:ascii="Calibri" w:cs="Calibri" w:eastAsia="Calibri" w:hAnsi="Calibri"/>
                <w:b w:val="false"/>
                <w:bCs w:val="false"/>
                <w:color w:val="1A1A1A"/>
                <w:sz w:val="20"/>
                <w:szCs w:val="20"/>
              </w:rPr>
              <w:t xml:space="preserve">Streaming/media partner signed.</w:t>
            </w:r>
          </w:p>
          <w:p>
            <w:pPr>
              <w:spacing w:after="60" w:line="260"/>
              <w:jc w:val="left"/>
            </w:pPr>
            <w:r>
              <w:rPr>
                <w:rFonts w:ascii="Calibri" w:cs="Calibri" w:eastAsia="Calibri" w:hAnsi="Calibri"/>
                <w:b w:val="false"/>
                <w:bCs w:val="false"/>
                <w:color w:val="1A1A1A"/>
                <w:sz w:val="20"/>
                <w:szCs w:val="20"/>
              </w:rPr>
              <w:t xml:space="preserve">ADW Lab cohort selected; Incepted bootcamp participants announced.</w:t>
            </w:r>
          </w:p>
          <w:p>
            <w:pPr>
              <w:spacing w:after="60" w:line="260"/>
              <w:jc w:val="left"/>
            </w:pPr>
            <w:r>
              <w:rPr>
                <w:rFonts w:ascii="Calibri" w:cs="Calibri" w:eastAsia="Calibri" w:hAnsi="Calibri"/>
                <w:b w:val="false"/>
                <w:bCs w:val="false"/>
                <w:color w:val="1A1A1A"/>
                <w:sz w:val="20"/>
                <w:szCs w:val="20"/>
              </w:rPr>
              <w:t xml:space="preserve">Partner festival cohort confirmed.</w:t>
            </w:r>
          </w:p>
          <w:p>
            <w:pPr>
              <w:spacing w:after="60" w:line="260"/>
              <w:jc w:val="left"/>
            </w:pPr>
            <w:r>
              <w:rPr>
                <w:rFonts w:ascii="Calibri" w:cs="Calibri" w:eastAsia="Calibri" w:hAnsi="Calibri"/>
                <w:b w:val="false"/>
                <w:bCs w:val="false"/>
                <w:color w:val="1A1A1A"/>
                <w:sz w:val="20"/>
                <w:szCs w:val="20"/>
              </w:rPr>
              <w:t xml:space="preserve">Ticket Phase 1 closes; Phase 2 opens at standard pricing.</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SEP 2026</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Full conference programme announced (all speakers, all sessions).</w:t>
            </w:r>
          </w:p>
          <w:p>
            <w:pPr>
              <w:spacing w:after="60" w:line="260"/>
              <w:jc w:val="left"/>
            </w:pPr>
            <w:r>
              <w:rPr>
                <w:rFonts w:ascii="Calibri" w:cs="Calibri" w:eastAsia="Calibri" w:hAnsi="Calibri"/>
                <w:b w:val="false"/>
                <w:bCs w:val="false"/>
                <w:color w:val="1A1A1A"/>
                <w:sz w:val="20"/>
                <w:szCs w:val="20"/>
              </w:rPr>
              <w:t xml:space="preserve">ADW Awards nominations open (industry voting body invited).</w:t>
            </w:r>
          </w:p>
          <w:p>
            <w:pPr>
              <w:spacing w:after="60" w:line="260"/>
              <w:jc w:val="left"/>
            </w:pPr>
            <w:r>
              <w:rPr>
                <w:rFonts w:ascii="Calibri" w:cs="Calibri" w:eastAsia="Calibri" w:hAnsi="Calibri"/>
                <w:b w:val="false"/>
                <w:bCs w:val="false"/>
                <w:color w:val="1A1A1A"/>
                <w:sz w:val="20"/>
                <w:szCs w:val="20"/>
              </w:rPr>
              <w:t xml:space="preserve">International delegate accreditation opens.</w:t>
            </w:r>
          </w:p>
          <w:p>
            <w:pPr>
              <w:spacing w:after="60" w:line="260"/>
              <w:jc w:val="left"/>
            </w:pPr>
            <w:r>
              <w:rPr>
                <w:rFonts w:ascii="Calibri" w:cs="Calibri" w:eastAsia="Calibri" w:hAnsi="Calibri"/>
                <w:b w:val="false"/>
                <w:bCs w:val="false"/>
                <w:color w:val="1A1A1A"/>
                <w:sz w:val="20"/>
                <w:szCs w:val="20"/>
              </w:rPr>
              <w:t xml:space="preserve">Production procurement locked (sound, lighting, rigging, staging).</w:t>
            </w:r>
          </w:p>
          <w:p>
            <w:pPr>
              <w:spacing w:after="60" w:line="260"/>
              <w:jc w:val="left"/>
            </w:pPr>
            <w:r>
              <w:rPr>
                <w:rFonts w:ascii="Calibri" w:cs="Calibri" w:eastAsia="Calibri" w:hAnsi="Calibri"/>
                <w:b w:val="false"/>
                <w:bCs w:val="false"/>
                <w:color w:val="1A1A1A"/>
                <w:sz w:val="20"/>
                <w:szCs w:val="20"/>
              </w:rPr>
              <w:t xml:space="preserve">ADW Lab Village fit-out begins.</w:t>
            </w:r>
          </w:p>
        </w:tc>
      </w:tr>
      <w:tr>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OCT 2026
(ADE WEEK)</w:t>
            </w:r>
          </w:p>
        </w:tc>
        <w:tc>
          <w:tcPr>
            <w:tcW w:type="dxa" w:w="78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ADE Amsterdam 21–25 October: ADW hosts South Africa Pavilion activation.</w:t>
            </w:r>
          </w:p>
          <w:p>
            <w:pPr>
              <w:spacing w:after="60" w:line="260"/>
              <w:jc w:val="left"/>
            </w:pPr>
            <w:r>
              <w:rPr>
                <w:rFonts w:ascii="Calibri" w:cs="Calibri" w:eastAsia="Calibri" w:hAnsi="Calibri"/>
                <w:b w:val="false"/>
                <w:bCs w:val="false"/>
                <w:color w:val="1A1A1A"/>
                <w:sz w:val="20"/>
                <w:szCs w:val="20"/>
              </w:rPr>
              <w:t xml:space="preserve">Five South African artist showcases at ADE (exchange programme).</w:t>
            </w:r>
          </w:p>
          <w:p>
            <w:pPr>
              <w:spacing w:after="60" w:line="260"/>
              <w:jc w:val="left"/>
            </w:pPr>
            <w:r>
              <w:rPr>
                <w:rFonts w:ascii="Calibri" w:cs="Calibri" w:eastAsia="Calibri" w:hAnsi="Calibri"/>
                <w:b w:val="false"/>
                <w:bCs w:val="false"/>
                <w:color w:val="1A1A1A"/>
                <w:sz w:val="20"/>
                <w:szCs w:val="20"/>
              </w:rPr>
              <w:t xml:space="preserve">ADW main press launch at ADE Amsterdam (international media push).</w:t>
            </w:r>
          </w:p>
          <w:p>
            <w:pPr>
              <w:spacing w:after="60" w:line="260"/>
              <w:jc w:val="left"/>
            </w:pPr>
            <w:r>
              <w:rPr>
                <w:rFonts w:ascii="Calibri" w:cs="Calibri" w:eastAsia="Calibri" w:hAnsi="Calibri"/>
                <w:b w:val="false"/>
                <w:bCs w:val="false"/>
                <w:color w:val="1A1A1A"/>
                <w:sz w:val="20"/>
                <w:szCs w:val="20"/>
              </w:rPr>
              <w:t xml:space="preserve">Accreditation closes end October.</w:t>
            </w:r>
          </w:p>
          <w:p>
            <w:pPr>
              <w:spacing w:after="60" w:line="260"/>
              <w:jc w:val="left"/>
            </w:pPr>
            <w:r>
              <w:rPr>
                <w:rFonts w:ascii="Calibri" w:cs="Calibri" w:eastAsia="Calibri" w:hAnsi="Calibri"/>
                <w:b w:val="false"/>
                <w:bCs w:val="false"/>
                <w:color w:val="1A1A1A"/>
                <w:sz w:val="20"/>
                <w:szCs w:val="20"/>
              </w:rPr>
              <w:t xml:space="preserve">Dry-run of ADW Connect matchmaking with ADE delegates.</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NOV 2026</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60" w:line="260"/>
              <w:jc w:val="left"/>
            </w:pPr>
            <w:r>
              <w:rPr>
                <w:rFonts w:ascii="Calibri" w:cs="Calibri" w:eastAsia="Calibri" w:hAnsi="Calibri"/>
                <w:b w:val="false"/>
                <w:bCs w:val="false"/>
                <w:color w:val="1A1A1A"/>
                <w:sz w:val="20"/>
                <w:szCs w:val="20"/>
              </w:rPr>
              <w:t xml:space="preserve">ADW Awards nominees announced.</w:t>
            </w:r>
          </w:p>
          <w:p>
            <w:pPr>
              <w:spacing w:after="60" w:line="260"/>
              <w:jc w:val="left"/>
            </w:pPr>
            <w:r>
              <w:rPr>
                <w:rFonts w:ascii="Calibri" w:cs="Calibri" w:eastAsia="Calibri" w:hAnsi="Calibri"/>
                <w:b w:val="false"/>
                <w:bCs w:val="false"/>
                <w:color w:val="1A1A1A"/>
                <w:sz w:val="20"/>
                <w:szCs w:val="20"/>
              </w:rPr>
              <w:t xml:space="preserve">Final artist lineup announced.</w:t>
            </w:r>
          </w:p>
          <w:p>
            <w:pPr>
              <w:spacing w:after="60" w:line="260"/>
              <w:jc w:val="left"/>
            </w:pPr>
            <w:r>
              <w:rPr>
                <w:rFonts w:ascii="Calibri" w:cs="Calibri" w:eastAsia="Calibri" w:hAnsi="Calibri"/>
                <w:b w:val="false"/>
                <w:bCs w:val="false"/>
                <w:color w:val="1A1A1A"/>
                <w:sz w:val="20"/>
                <w:szCs w:val="20"/>
              </w:rPr>
              <w:t xml:space="preserve">Ticketing Phase 2 closes; limited Phase 3 (last-release) opens.</w:t>
            </w:r>
          </w:p>
          <w:p>
            <w:pPr>
              <w:spacing w:after="60" w:line="260"/>
              <w:jc w:val="left"/>
            </w:pPr>
            <w:r>
              <w:rPr>
                <w:rFonts w:ascii="Calibri" w:cs="Calibri" w:eastAsia="Calibri" w:hAnsi="Calibri"/>
                <w:b w:val="false"/>
                <w:bCs w:val="false"/>
                <w:color w:val="1A1A1A"/>
                <w:sz w:val="20"/>
                <w:szCs w:val="20"/>
              </w:rPr>
              <w:t xml:space="preserve">Production build begins at all venues 7 days out.</w:t>
            </w:r>
          </w:p>
          <w:p>
            <w:pPr>
              <w:spacing w:after="60" w:line="260"/>
              <w:jc w:val="left"/>
            </w:pPr>
            <w:r>
              <w:rPr>
                <w:rFonts w:ascii="Calibri" w:cs="Calibri" w:eastAsia="Calibri" w:hAnsi="Calibri"/>
                <w:b w:val="false"/>
                <w:bCs w:val="false"/>
                <w:color w:val="1A1A1A"/>
                <w:sz w:val="20"/>
                <w:szCs w:val="20"/>
              </w:rPr>
              <w:t xml:space="preserve">Media partner content programmes go live (podcast, documentary pre-release, editorial).</w:t>
            </w:r>
          </w:p>
        </w:tc>
      </w:tr>
      <w:tr>
        <w:tc>
          <w:tcPr>
            <w:tcW w:type="dxa" w:w="150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DEC 2026
(EVENT WEEK)</w:t>
            </w:r>
          </w:p>
        </w:tc>
        <w:tc>
          <w:tcPr>
            <w:tcW w:type="dxa" w:w="7860"/>
            <w:tcBorders>
              <w:top w:val="single" w:color="CCCCCC" w:sz="4"/>
              <w:left w:val="single" w:color="CCCCCC" w:sz="4"/>
              <w:bottom w:val="single" w:color="CCCCCC" w:sz="4"/>
              <w:right w:val="single" w:color="CCCCCC" w:sz="4"/>
            </w:tcBorders>
            <w:shd w:fill="E11D2E" w:val="clear"/>
            <w:tcMar>
              <w:top w:type="dxa" w:w="100"/>
              <w:left w:type="dxa" w:w="140"/>
              <w:bottom w:type="dxa" w:w="100"/>
              <w:right w:type="dxa" w:w="140"/>
            </w:tcMar>
          </w:tcPr>
          <w:p>
            <w:pPr>
              <w:spacing w:after="60" w:line="260"/>
              <w:jc w:val="left"/>
            </w:pPr>
            <w:r>
              <w:rPr>
                <w:rFonts w:ascii="Calibri" w:cs="Calibri" w:eastAsia="Calibri" w:hAnsi="Calibri"/>
                <w:b w:val="false"/>
                <w:bCs w:val="false"/>
                <w:color w:val="FFFFFF"/>
                <w:sz w:val="20"/>
                <w:szCs w:val="20"/>
              </w:rPr>
              <w:t xml:space="preserve">Day 0 (1 Dec): Delegate arrivals, JHB.</w:t>
            </w:r>
          </w:p>
          <w:p>
            <w:pPr>
              <w:spacing w:after="60" w:line="260"/>
              <w:jc w:val="left"/>
            </w:pPr>
            <w:r>
              <w:rPr>
                <w:rFonts w:ascii="Calibri" w:cs="Calibri" w:eastAsia="Calibri" w:hAnsi="Calibri"/>
                <w:b w:val="false"/>
                <w:bCs w:val="false"/>
                <w:color w:val="FFFFFF"/>
                <w:sz w:val="20"/>
                <w:szCs w:val="20"/>
              </w:rPr>
              <w:t xml:space="preserve">Days 1–3 (2–4 Dec): JHB leg — ADW Pro + ADW Lab + festival nights.</w:t>
            </w:r>
          </w:p>
          <w:p>
            <w:pPr>
              <w:spacing w:after="60" w:line="260"/>
              <w:jc w:val="left"/>
            </w:pPr>
            <w:r>
              <w:rPr>
                <w:rFonts w:ascii="Calibri" w:cs="Calibri" w:eastAsia="Calibri" w:hAnsi="Calibri"/>
                <w:b w:val="false"/>
                <w:bCs w:val="false"/>
                <w:color w:val="FFFFFF"/>
                <w:sz w:val="20"/>
                <w:szCs w:val="20"/>
              </w:rPr>
              <w:t xml:space="preserve">Day 4 (5 Dec): ADW Awards night in JHB; travel to Cape Town.</w:t>
            </w:r>
          </w:p>
          <w:p>
            <w:pPr>
              <w:spacing w:after="60" w:line="260"/>
              <w:jc w:val="left"/>
            </w:pPr>
            <w:r>
              <w:rPr>
                <w:rFonts w:ascii="Calibri" w:cs="Calibri" w:eastAsia="Calibri" w:hAnsi="Calibri"/>
                <w:b w:val="false"/>
                <w:bCs w:val="false"/>
                <w:color w:val="FFFFFF"/>
                <w:sz w:val="20"/>
                <w:szCs w:val="20"/>
              </w:rPr>
              <w:t xml:space="preserve">Days 5–7 (6–8 Dec): Cape Town leg — closing conference, festival nights, closing showcase.</w:t>
            </w:r>
          </w:p>
          <w:p>
            <w:pPr>
              <w:spacing w:after="60" w:line="260"/>
              <w:jc w:val="left"/>
            </w:pPr>
            <w:r>
              <w:rPr>
                <w:rFonts w:ascii="Calibri" w:cs="Calibri" w:eastAsia="Calibri" w:hAnsi="Calibri"/>
                <w:b w:val="false"/>
                <w:bCs w:val="false"/>
                <w:color w:val="FFFFFF"/>
                <w:sz w:val="20"/>
                <w:szCs w:val="20"/>
              </w:rPr>
              <w:t xml:space="preserve">Day 8 (9 Dec): Wrap, post-event press.</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pPr>
        <w:spacing w:after="140" w:before="0" w:line="300"/>
        <w:jc w:val="left"/>
      </w:pPr>
      <w:r>
        <w:rPr>
          <w:rFonts w:ascii="Calibri" w:cs="Calibri" w:eastAsia="Calibri" w:hAnsi="Calibri"/>
          <w:b w:val="false"/>
          <w:bCs w:val="false"/>
          <w:i w:val="false"/>
          <w:iCs w:val="false"/>
          <w:color w:val="1A1A1A"/>
          <w:sz w:val="22"/>
          <w:szCs w:val="22"/>
        </w:rPr>
        <w:t xml:space="preserve">Two milestones are non-negotiable. The first is ADE Week in October 2026: the ADW pop-up at ADE is the single most important international PR moment on the build, and the five South African showcase slots have to be confirmed at ADE in writing by mid-July at the latest, because ADE's programme locks six weeks out. The second is the ticketing opens in June: a December event that cannot show a credible delegate pass sale-through by October will struggle to fundraise the remaining tier-2 partners.</w:t>
      </w:r>
    </w:p>
    <w:p>
      <w:r>
        <w:br w:type="page"/>
      </w:r>
    </w:p>
    <w:p>
      <w:pPr>
        <w:pStyle w:val="Heading1"/>
        <w:spacing w:after="200" w:before="400"/>
      </w:pPr>
      <w:r>
        <w:rPr>
          <w:rFonts w:ascii="Calibri" w:cs="Calibri" w:eastAsia="Calibri" w:hAnsi="Calibri"/>
          <w:b/>
          <w:bCs/>
          <w:color w:val="1A1A1A"/>
          <w:sz w:val="36"/>
          <w:szCs w:val="36"/>
        </w:rPr>
        <w:t xml:space="preserve">8. Risk register</w:t>
      </w:r>
    </w:p>
    <w:p>
      <w:pPr>
        <w:spacing w:after="140" w:before="0" w:line="300"/>
        <w:jc w:val="left"/>
      </w:pPr>
      <w:r>
        <w:rPr>
          <w:rFonts w:ascii="Calibri" w:cs="Calibri" w:eastAsia="Calibri" w:hAnsi="Calibri"/>
          <w:b w:val="false"/>
          <w:bCs w:val="false"/>
          <w:i w:val="false"/>
          <w:iCs w:val="false"/>
          <w:color w:val="1A1A1A"/>
          <w:sz w:val="22"/>
          <w:szCs w:val="22"/>
        </w:rPr>
        <w:t xml:space="preserve">An abridged register of the risks most likely to derail the Year 1 pilot. This is not exhaustive; a full risk register lives in the programme director's working documents. The purpose of including it here is to show partners — especially Heineken — that the risks are understood and actively managed.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500"/>
        <w:gridCol w:w="3560"/>
      </w:tblGrid>
      <w:tr>
        <w:trPr>
          <w:tblHeader/>
        </w:trPr>
        <w:tc>
          <w:tcPr>
            <w:tcW w:type="dxa" w:w="28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RISK</w:t>
            </w:r>
          </w:p>
        </w:tc>
        <w:tc>
          <w:tcPr>
            <w:tcW w:type="dxa" w:w="15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LIKELIHOOD</w:t>
            </w:r>
          </w:p>
        </w:tc>
        <w:tc>
          <w:tcPr>
            <w:tcW w:type="dxa" w:w="150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IMPACT</w:t>
            </w:r>
          </w:p>
        </w:tc>
        <w:tc>
          <w:tcPr>
            <w:tcW w:type="dxa" w:w="3560"/>
            <w:tcBorders>
              <w:top w:val="single" w:color="CCCCCC" w:sz="4"/>
              <w:left w:val="single" w:color="CCCCCC" w:sz="4"/>
              <w:bottom w:val="single" w:color="CCCCCC" w:sz="4"/>
              <w:right w:val="single" w:color="CCCCCC" w:sz="4"/>
            </w:tcBorders>
            <w:shd w:fill="0F0F0F" w:val="clear"/>
            <w:tcMar>
              <w:top w:type="dxa" w:w="100"/>
              <w:left w:type="dxa" w:w="140"/>
              <w:bottom w:type="dxa" w:w="100"/>
              <w:right w:type="dxa" w:w="140"/>
            </w:tcMar>
          </w:tcPr>
          <w:p>
            <w:pPr>
              <w:spacing w:after="0" w:line="260"/>
              <w:jc w:val="left"/>
            </w:pPr>
            <w:r>
              <w:rPr>
                <w:rFonts w:ascii="Calibri" w:cs="Calibri" w:eastAsia="Calibri" w:hAnsi="Calibri"/>
                <w:b/>
                <w:bCs/>
                <w:color w:val="FFFFFF"/>
                <w:sz w:val="20"/>
                <w:szCs w:val="20"/>
              </w:rPr>
              <w:t xml:space="preserve">MITIGATION</w:t>
            </w:r>
          </w:p>
        </w:tc>
      </w:tr>
      <w:tr>
        <w:tc>
          <w:tcPr>
            <w:tcW w:type="dxa" w:w="28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Main partner does not close by end May</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Medium</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Severe</w:t>
            </w:r>
          </w:p>
        </w:tc>
        <w:tc>
          <w:tcPr>
            <w:tcW w:type="dxa" w:w="35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Run Heineken and SAB parallel conversations. Have a credible Plan C (a premium telco taking the main-partner slot) on paper by end April.</w:t>
            </w:r>
          </w:p>
        </w:tc>
      </w:tr>
      <w:tr>
        <w:tc>
          <w:tcPr>
            <w:tcW w:type="dxa" w:w="28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Existing SA festivals perceive ADW as extractive</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Medium-high</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Severe</w:t>
            </w:r>
          </w:p>
        </w:tc>
        <w:tc>
          <w:tcPr>
            <w:tcW w:type="dxa" w:w="35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Partner festival programme (Section 6.5) is the primary mitigation. Open-door early briefings with all 11 festivals in April-May. Public ADW Fund allocations land this.</w:t>
            </w:r>
          </w:p>
        </w:tc>
      </w:tr>
      <w:tr>
        <w:tc>
          <w:tcPr>
            <w:tcW w:type="dxa" w:w="28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Artist diary congestion Dec 2026 (festive season)</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High</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Moderate</w:t>
            </w:r>
          </w:p>
        </w:tc>
        <w:tc>
          <w:tcPr>
            <w:tcW w:type="dxa" w:w="35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Lock headliners on 12-month exclusivity deals in June, not November. Build lineup around DanceAfrika roster + known ambassadors rather than last-minute bookings.</w:t>
            </w:r>
          </w:p>
        </w:tc>
      </w:tr>
      <w:tr>
        <w:tc>
          <w:tcPr>
            <w:tcW w:type="dxa" w:w="28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Ticket under-sell on ADW Pro passes</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Medium</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Moderate</w:t>
            </w:r>
          </w:p>
        </w:tc>
        <w:tc>
          <w:tcPr>
            <w:tcW w:type="dxa" w:w="35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Subsidised student and emerging-artist tiers. Group-purchase discounts for labels and agencies. Hard floor of 500 passes recoverable through B2B push if retail softens.</w:t>
            </w:r>
          </w:p>
        </w:tc>
      </w:tr>
      <w:tr>
        <w:tc>
          <w:tcPr>
            <w:tcW w:type="dxa" w:w="28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International delegate travel friction (visa, flights)</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Medium</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Moderate</w:t>
            </w:r>
          </w:p>
        </w:tc>
        <w:tc>
          <w:tcPr>
            <w:tcW w:type="dxa" w:w="35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Partner with SA Tourism on visa fast-track channel for registered delegates. Group-rate carrier deal (SAA or Emirates) signed by July. Dedicated ADW concierge line.</w:t>
            </w:r>
          </w:p>
        </w:tc>
      </w:tr>
      <w:tr>
        <w:tc>
          <w:tcPr>
            <w:tcW w:type="dxa" w:w="28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A major safety incident at a partner venue</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Low</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Catastrophic</w:t>
            </w:r>
          </w:p>
        </w:tc>
        <w:tc>
          <w:tcPr>
            <w:tcW w:type="dxa" w:w="35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Accredited Venue audit is the primary line of defence. Dedicated ADW Safe on-site team at every venue. Insurance cover sized for worst-case (R50M public liability minimum).</w:t>
            </w:r>
          </w:p>
        </w:tc>
      </w:tr>
      <w:tr>
        <w:tc>
          <w:tcPr>
            <w:tcW w:type="dxa" w:w="28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Cash-flow squeeze October–December</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High</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Severe</w:t>
            </w:r>
          </w:p>
        </w:tc>
        <w:tc>
          <w:tcPr>
            <w:tcW w:type="dxa" w:w="356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40% advance-payment structure in all partner agreements. R8M working-capital facility secured by end August as backstop.</w:t>
            </w:r>
          </w:p>
        </w:tc>
      </w:tr>
      <w:tr>
        <w:tc>
          <w:tcPr>
            <w:tcW w:type="dxa" w:w="28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1A1A1A"/>
                <w:sz w:val="20"/>
                <w:szCs w:val="20"/>
              </w:rPr>
              <w:t xml:space="preserve">Political / macroeconomic shock</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Low-medium</w:t>
            </w:r>
          </w:p>
        </w:tc>
        <w:tc>
          <w:tcPr>
            <w:tcW w:type="dxa" w:w="150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Moderate-severe</w:t>
            </w:r>
          </w:p>
        </w:tc>
        <w:tc>
          <w:tcPr>
            <w:tcW w:type="dxa" w:w="3560"/>
            <w:tcBorders>
              <w:top w:val="single" w:color="CCCCCC" w:sz="4"/>
              <w:left w:val="single" w:color="CCCCCC" w:sz="4"/>
              <w:bottom w:val="single" w:color="CCCCCC" w:sz="4"/>
              <w:right w:val="single" w:color="CCCCCC" w:sz="4"/>
            </w:tcBorders>
            <w:shd w:fill="F3F3F3" w:val="clear"/>
            <w:tcMar>
              <w:top w:type="dxa" w:w="100"/>
              <w:left w:type="dxa" w:w="140"/>
              <w:bottom w:type="dxa" w:w="100"/>
              <w:right w:type="dxa" w:w="140"/>
            </w:tcMar>
          </w:tcPr>
          <w:p>
            <w:pPr>
              <w:spacing w:after="0" w:line="260"/>
              <w:jc w:val="left"/>
            </w:pPr>
            <w:r>
              <w:rPr>
                <w:rFonts w:ascii="Calibri" w:cs="Calibri" w:eastAsia="Calibri" w:hAnsi="Calibri"/>
                <w:b w:val="false"/>
                <w:bCs w:val="false"/>
                <w:color w:val="1A1A1A"/>
                <w:sz w:val="20"/>
                <w:szCs w:val="20"/>
              </w:rPr>
              <w:t xml:space="preserve">Event cancellation insurance. Force-majeure clauses in all partner contracts. Monthly reforecast from September onwards.</w:t>
            </w:r>
          </w:p>
        </w:tc>
      </w:tr>
    </w:tbl>
    <w:p>
      <w:pPr>
        <w:spacing w:after="140" w:before="160" w:line="300"/>
        <w:jc w:val="left"/>
      </w:pPr>
      <w:r>
        <w:rPr>
          <w:rFonts w:ascii="Calibri" w:cs="Calibri" w:eastAsia="Calibri" w:hAnsi="Calibri"/>
          <w:b w:val="false"/>
          <w:bCs w:val="false"/>
          <w:i w:val="false"/>
          <w:iCs w:val="false"/>
          <w:color w:val="1A1A1A"/>
          <w:sz w:val="22"/>
          <w:szCs w:val="22"/>
        </w:rPr>
        <w:t xml:space="preserve"> </w:t>
      </w:r>
    </w:p>
    <w:p>
      <w:r>
        <w:br w:type="page"/>
      </w:r>
    </w:p>
    <w:p>
      <w:pPr>
        <w:pStyle w:val="Heading1"/>
        <w:spacing w:after="200" w:before="400"/>
      </w:pPr>
      <w:r>
        <w:rPr>
          <w:rFonts w:ascii="Calibri" w:cs="Calibri" w:eastAsia="Calibri" w:hAnsi="Calibri"/>
          <w:b/>
          <w:bCs/>
          <w:color w:val="1A1A1A"/>
          <w:sz w:val="36"/>
          <w:szCs w:val="36"/>
        </w:rPr>
        <w:t xml:space="preserve">9. Decisions required in the next 30 days</w:t>
      </w:r>
    </w:p>
    <w:p>
      <w:pPr>
        <w:spacing w:after="140" w:before="0" w:line="300"/>
        <w:jc w:val="left"/>
      </w:pPr>
      <w:r>
        <w:rPr>
          <w:rFonts w:ascii="Calibri" w:cs="Calibri" w:eastAsia="Calibri" w:hAnsi="Calibri"/>
          <w:b w:val="false"/>
          <w:bCs w:val="false"/>
          <w:i w:val="false"/>
          <w:iCs w:val="false"/>
          <w:color w:val="1A1A1A"/>
          <w:sz w:val="22"/>
          <w:szCs w:val="22"/>
        </w:rPr>
        <w:t xml:space="preserve">The following seven decisions block further progress. Each is framed so it can be resolved in a single working session. Julian, these are the ones I'd want answers to before we take any of this to an external partner.</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1. Entity structure. </w:t>
      </w:r>
      <w:r>
        <w:rPr>
          <w:rFonts w:ascii="Calibri" w:cs="Calibri" w:eastAsia="Calibri" w:hAnsi="Calibri"/>
          <w:b w:val="false"/>
          <w:bCs w:val="false"/>
          <w:i w:val="false"/>
          <w:iCs w:val="false"/>
          <w:color w:val="1A1A1A"/>
          <w:sz w:val="22"/>
          <w:szCs w:val="22"/>
        </w:rPr>
        <w:t xml:space="preserve">Does ADW operate through Rockets Establishments, through a new ADW (Pty) Ltd, or through a DanceAfrika subsidiary? Recommendation: dedicated ADW (Pty) Ltd, incorporated in May 2026, with DanceAfrika and Rockets as shareholders alongside an equity allocation reserved for a future strategic partner.</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2. Main-partner price point. </w:t>
      </w:r>
      <w:r>
        <w:rPr>
          <w:rFonts w:ascii="Calibri" w:cs="Calibri" w:eastAsia="Calibri" w:hAnsi="Calibri"/>
          <w:b w:val="false"/>
          <w:bCs w:val="false"/>
          <w:i w:val="false"/>
          <w:iCs w:val="false"/>
          <w:color w:val="1A1A1A"/>
          <w:sz w:val="22"/>
          <w:szCs w:val="22"/>
        </w:rPr>
        <w:t xml:space="preserve">Confirm R8–12M as the target range for Heineken Year 1. Anything below R8M undercuts the category exclusivity value; anything above R12M is unlikely to close in Year 1 without proof. Recommendation: R10M asking price, R8.5M floor.</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3. ADE formal engagement. </w:t>
      </w:r>
      <w:r>
        <w:rPr>
          <w:rFonts w:ascii="Calibri" w:cs="Calibri" w:eastAsia="Calibri" w:hAnsi="Calibri"/>
          <w:b w:val="false"/>
          <w:bCs w:val="false"/>
          <w:i w:val="false"/>
          <w:iCs w:val="false"/>
          <w:color w:val="1A1A1A"/>
          <w:sz w:val="22"/>
          <w:szCs w:val="22"/>
        </w:rPr>
        <w:t xml:space="preserve">Do we pursue a formal ADE partnership in Year 1 (with associated cost and visibility benefits), or stay informal in Year 1 and formalise in Year 2? Recommendation: informal delegation exchange in Year 1 (cheaper, easier to close, low-stakes), formal partnership MOU Year 2.</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4. Cape Town anchor venue. </w:t>
      </w:r>
      <w:r>
        <w:rPr>
          <w:rFonts w:ascii="Calibri" w:cs="Calibri" w:eastAsia="Calibri" w:hAnsi="Calibri"/>
          <w:b w:val="false"/>
          <w:bCs w:val="false"/>
          <w:i w:val="false"/>
          <w:iCs w:val="false"/>
          <w:color w:val="1A1A1A"/>
          <w:sz w:val="22"/>
          <w:szCs w:val="22"/>
        </w:rPr>
        <w:t xml:space="preserve">Rockets has no Cape Town footprint currently. Do we partner with an existing CT venue group (Shimmy, Truth CT, Cabo Beach, Cafe Caprice, ERA) for 4 days, or build a pop-up? Recommendation: primary partnership with 2–3 established CT venues; pop-up only if budget allows as a supplementary hero activation.</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5. ADW Awards broadcast rights. </w:t>
      </w:r>
      <w:r>
        <w:rPr>
          <w:rFonts w:ascii="Calibri" w:cs="Calibri" w:eastAsia="Calibri" w:hAnsi="Calibri"/>
          <w:b w:val="false"/>
          <w:bCs w:val="false"/>
          <w:i w:val="false"/>
          <w:iCs w:val="false"/>
          <w:color w:val="1A1A1A"/>
          <w:sz w:val="22"/>
          <w:szCs w:val="22"/>
        </w:rPr>
        <w:t xml:space="preserve">SABC, DStv/MultiChoice, or streaming-only? The rights conversation affects the entire partnership stack because broadcast inventory is a significant part of what is being sold to Heineken. Recommendation: MultiChoice partnership + streaming simulcast for reach outside SA.</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6. Rockets Group cost-plus arrangement. </w:t>
      </w:r>
      <w:r>
        <w:rPr>
          <w:rFonts w:ascii="Calibri" w:cs="Calibri" w:eastAsia="Calibri" w:hAnsi="Calibri"/>
          <w:b w:val="false"/>
          <w:bCs w:val="false"/>
          <w:i w:val="false"/>
          <w:iCs w:val="false"/>
          <w:color w:val="1A1A1A"/>
          <w:sz w:val="22"/>
          <w:szCs w:val="22"/>
        </w:rPr>
        <w:t xml:space="preserve">Production and venue costs proposed at preferential rates inside the budget assume an internal Rockets arrangement. Confirm the cost-plus margin and get the intercompany agreement drafted to avoid later tension with any outside investor.</w:t>
      </w:r>
    </w:p>
    <w:p>
      <w:pPr>
        <w:pStyle w:val="ListParagraph"/>
        <w:numPr>
          <w:ilvl w:val="0"/>
          <w:numId w:val="2"/>
        </w:numPr>
        <w:spacing w:after="80" w:line="280"/>
      </w:pPr>
      <w:r>
        <w:rPr>
          <w:rFonts w:ascii="Calibri" w:cs="Calibri" w:eastAsia="Calibri" w:hAnsi="Calibri"/>
          <w:b/>
          <w:bCs/>
          <w:i w:val="false"/>
          <w:iCs w:val="false"/>
          <w:color w:val="1A1A1A"/>
          <w:sz w:val="22"/>
          <w:szCs w:val="22"/>
        </w:rPr>
        <w:t xml:space="preserve">7. Public-announcement gating. </w:t>
      </w:r>
      <w:r>
        <w:rPr>
          <w:rFonts w:ascii="Calibri" w:cs="Calibri" w:eastAsia="Calibri" w:hAnsi="Calibri"/>
          <w:b w:val="false"/>
          <w:bCs w:val="false"/>
          <w:i w:val="false"/>
          <w:iCs w:val="false"/>
          <w:color w:val="1A1A1A"/>
          <w:sz w:val="22"/>
          <w:szCs w:val="22"/>
        </w:rPr>
        <w:t xml:space="preserve">Is June 2026 the public launch window or earlier? June assumes main partner closed by May. If main partner slips to July, launch slips to August, and the eight-month build compresses to four, which is where Year 1 becomes genuinely risky. Recommendation: hold the June public launch date as a forcing function on main partner close.</w:t>
      </w:r>
    </w:p>
    <w:p>
      <w:r>
        <w:br w:type="page"/>
      </w:r>
    </w:p>
    <w:p>
      <w:pPr>
        <w:pStyle w:val="Heading1"/>
        <w:spacing w:after="200" w:before="400"/>
      </w:pPr>
      <w:r>
        <w:rPr>
          <w:rFonts w:ascii="Calibri" w:cs="Calibri" w:eastAsia="Calibri" w:hAnsi="Calibri"/>
          <w:b/>
          <w:bCs/>
          <w:color w:val="1A1A1A"/>
          <w:sz w:val="36"/>
          <w:szCs w:val="36"/>
        </w:rPr>
        <w:t xml:space="preserve">10. Appendix — the one-page case for Heineken</w:t>
      </w:r>
    </w:p>
    <w:p>
      <w:pPr>
        <w:spacing w:after="140" w:before="0" w:line="300"/>
        <w:jc w:val="left"/>
      </w:pPr>
      <w:r>
        <w:rPr>
          <w:rFonts w:ascii="Calibri" w:cs="Calibri" w:eastAsia="Calibri" w:hAnsi="Calibri"/>
          <w:b w:val="false"/>
          <w:bCs w:val="false"/>
          <w:i w:val="false"/>
          <w:iCs w:val="false"/>
          <w:color w:val="1A1A1A"/>
          <w:sz w:val="22"/>
          <w:szCs w:val="22"/>
        </w:rPr>
        <w:t xml:space="preserve">Included as a separable summary that can be extracted for a first meeting with Heineken Beverages SA. Everything below fits on a single page and assumes no prior context.</w:t>
      </w:r>
    </w:p>
    <w:p>
      <w:pPr>
        <w:pBdr>
          <w:bottom w:val="single" w:color="E11D2E" w:sz="6" w:space="1"/>
        </w:pBdr>
        <w:spacing w:after="120" w:before="120"/>
      </w:pPr>
      <w:r>
        <w:t xml:space="preserve"/>
      </w:r>
    </w:p>
    <w:p>
      <w:pPr>
        <w:spacing w:after="140" w:before="0" w:line="300"/>
        <w:jc w:val="left"/>
      </w:pPr>
      <w:r>
        <w:rPr>
          <w:rFonts w:ascii="Calibri" w:cs="Calibri" w:eastAsia="Calibri" w:hAnsi="Calibri"/>
          <w:b/>
          <w:bCs/>
          <w:i w:val="false"/>
          <w:iCs w:val="false"/>
          <w:color w:val="E11D2E"/>
          <w:sz w:val="24"/>
          <w:szCs w:val="24"/>
        </w:rPr>
        <w:t xml:space="preserve">AFRICA DANCE WEEK — THE NATURAL NEXT CHAPTER OF HEINEKEN'S DANCE MUSIC STORY</w:t>
      </w:r>
    </w:p>
    <w:p>
      <w:pPr>
        <w:spacing w:after="140" w:before="0" w:line="300"/>
        <w:jc w:val="left"/>
      </w:pPr>
      <w:r>
        <w:rPr>
          <w:rFonts w:ascii="Calibri" w:cs="Calibri" w:eastAsia="Calibri" w:hAnsi="Calibri"/>
          <w:b w:val="false"/>
          <w:bCs w:val="false"/>
          <w:i w:val="false"/>
          <w:iCs w:val="false"/>
          <w:color w:val="1A1A1A"/>
          <w:sz w:val="22"/>
          <w:szCs w:val="22"/>
        </w:rPr>
        <w:t xml:space="preserve"> </w:t>
      </w:r>
    </w:p>
    <w:p>
      <w:pPr>
        <w:spacing w:after="140" w:before="0" w:line="300"/>
        <w:jc w:val="left"/>
      </w:pPr>
      <w:r>
        <w:rPr>
          <w:rFonts w:ascii="Calibri" w:cs="Calibri" w:eastAsia="Calibri" w:hAnsi="Calibri"/>
          <w:b/>
          <w:bCs/>
          <w:i w:val="false"/>
          <w:iCs w:val="false"/>
          <w:color w:val="1A1A1A"/>
          <w:sz w:val="22"/>
          <w:szCs w:val="22"/>
        </w:rPr>
        <w:t xml:space="preserve">The opportunity. </w:t>
      </w:r>
      <w:r>
        <w:rPr>
          <w:rFonts w:ascii="Calibri" w:cs="Calibri" w:eastAsia="Calibri" w:hAnsi="Calibri"/>
          <w:b w:val="false"/>
          <w:bCs w:val="false"/>
          <w:i w:val="false"/>
          <w:iCs w:val="false"/>
          <w:color w:val="1A1A1A"/>
          <w:sz w:val="22"/>
          <w:szCs w:val="22"/>
        </w:rPr>
        <w:t xml:space="preserve">ADE Amsterdam is the world's most valuable dance music property. Heineken has been its main partner for over a decade. In October 2026 ADE has announced Sub-Saharan Africa as a key focus theme. Africa Dance Week, Johannesburg and Cape Town, December 2026, is the ground-level event that makes that theme real. Heineken can own the ADE→ADW narrative as a single, coherent partnership arc across one six-month campaign.</w:t>
      </w:r>
    </w:p>
    <w:p>
      <w:pPr>
        <w:spacing w:after="140" w:before="0" w:line="300"/>
        <w:jc w:val="left"/>
      </w:pPr>
      <w:r>
        <w:rPr>
          <w:rFonts w:ascii="Calibri" w:cs="Calibri" w:eastAsia="Calibri" w:hAnsi="Calibri"/>
          <w:b/>
          <w:bCs/>
          <w:i w:val="false"/>
          <w:iCs w:val="false"/>
          <w:color w:val="1A1A1A"/>
          <w:sz w:val="22"/>
          <w:szCs w:val="22"/>
        </w:rPr>
        <w:t xml:space="preserve">The scale (Year 1). </w:t>
      </w:r>
      <w:r>
        <w:rPr>
          <w:rFonts w:ascii="Calibri" w:cs="Calibri" w:eastAsia="Calibri" w:hAnsi="Calibri"/>
          <w:b w:val="false"/>
          <w:bCs w:val="false"/>
          <w:i w:val="false"/>
          <w:iCs w:val="false"/>
          <w:color w:val="1A1A1A"/>
          <w:sz w:val="22"/>
          <w:szCs w:val="22"/>
        </w:rPr>
        <w:t xml:space="preserve">Seven days across two cities. 12+ premium venues. 60+ festival events. 600+ industry delegates. 200+ artists. An estimated 45,000 attendees across ticketed events. An ADW Awards broadcast reaching a multi-million-household base. An international media push coordinated through the ADE Amsterdam window.</w:t>
      </w:r>
    </w:p>
    <w:p>
      <w:pPr>
        <w:spacing w:after="140" w:before="0" w:line="300"/>
        <w:jc w:val="left"/>
      </w:pPr>
      <w:r>
        <w:rPr>
          <w:rFonts w:ascii="Calibri" w:cs="Calibri" w:eastAsia="Calibri" w:hAnsi="Calibri"/>
          <w:b/>
          <w:bCs/>
          <w:i w:val="false"/>
          <w:iCs w:val="false"/>
          <w:color w:val="1A1A1A"/>
          <w:sz w:val="22"/>
          <w:szCs w:val="22"/>
        </w:rPr>
        <w:t xml:space="preserve">The offer. </w:t>
      </w:r>
      <w:r>
        <w:rPr>
          <w:rFonts w:ascii="Calibri" w:cs="Calibri" w:eastAsia="Calibri" w:hAnsi="Calibri"/>
          <w:b w:val="false"/>
          <w:bCs w:val="false"/>
          <w:i w:val="false"/>
          <w:iCs w:val="false"/>
          <w:color w:val="1A1A1A"/>
          <w:sz w:val="22"/>
          <w:szCs w:val="22"/>
        </w:rPr>
        <w:t xml:space="preserve">Category-exclusive main partnership at R10M (ex-VAT). Includes: House of Heineken hero hub; co-branding across all 12+ venues; Heineken Rising Stars programme localised for ADW; lead sponsorship of ADW Safe (the harm-reduction programme); integrated content rights including the official documentary and awards broadcast; a Kantar brand-lift measurement study; and first-right-of-refusal on Year 2 renewal at preferential rates.</w:t>
      </w:r>
    </w:p>
    <w:p>
      <w:pPr>
        <w:spacing w:after="140" w:before="0" w:line="300"/>
        <w:jc w:val="left"/>
      </w:pPr>
      <w:r>
        <w:rPr>
          <w:rFonts w:ascii="Calibri" w:cs="Calibri" w:eastAsia="Calibri" w:hAnsi="Calibri"/>
          <w:b/>
          <w:bCs/>
          <w:i w:val="false"/>
          <w:iCs w:val="false"/>
          <w:color w:val="1A1A1A"/>
          <w:sz w:val="22"/>
          <w:szCs w:val="22"/>
        </w:rPr>
        <w:t xml:space="preserve">The estimated return. </w:t>
      </w:r>
      <w:r>
        <w:rPr>
          <w:rFonts w:ascii="Calibri" w:cs="Calibri" w:eastAsia="Calibri" w:hAnsi="Calibri"/>
          <w:b w:val="false"/>
          <w:bCs w:val="false"/>
          <w:i w:val="false"/>
          <w:iCs w:val="false"/>
          <w:color w:val="1A1A1A"/>
          <w:sz w:val="22"/>
          <w:szCs w:val="22"/>
        </w:rPr>
        <w:t xml:space="preserve">R35–50M in tracked media value. A measurable 18–34 urban brand lift in both host cities. A 40+ piece content library usable across Heineken's Africa markets for 12 months. Direct category lift across partner venues during and after the week.</w:t>
      </w:r>
    </w:p>
    <w:p>
      <w:pPr>
        <w:spacing w:after="140" w:before="0" w:line="300"/>
        <w:jc w:val="left"/>
      </w:pPr>
      <w:r>
        <w:rPr>
          <w:rFonts w:ascii="Calibri" w:cs="Calibri" w:eastAsia="Calibri" w:hAnsi="Calibri"/>
          <w:b/>
          <w:bCs/>
          <w:i w:val="false"/>
          <w:iCs w:val="false"/>
          <w:color w:val="1A1A1A"/>
          <w:sz w:val="22"/>
          <w:szCs w:val="22"/>
        </w:rPr>
        <w:t xml:space="preserve">The platform. </w:t>
      </w:r>
      <w:r>
        <w:rPr>
          <w:rFonts w:ascii="Calibri" w:cs="Calibri" w:eastAsia="Calibri" w:hAnsi="Calibri"/>
          <w:b w:val="false"/>
          <w:bCs w:val="false"/>
          <w:i w:val="false"/>
          <w:iCs w:val="false"/>
          <w:color w:val="1A1A1A"/>
          <w:sz w:val="22"/>
          <w:szCs w:val="22"/>
        </w:rPr>
        <w:t xml:space="preserve">Delivered by The Rockets Group (production and venues), DiscovrTV (content production), DanceAfrika (artist roster and industry relationships) and Paradise Distribution (streaming reach). Board-level governance. Dedicated ADW (Pty) Ltd operating entity. Event-cancellation insurance and R50M public liability cover.</w:t>
      </w:r>
    </w:p>
    <w:p>
      <w:pPr>
        <w:spacing w:after="140" w:before="0" w:line="300"/>
        <w:jc w:val="left"/>
      </w:pPr>
      <w:r>
        <w:rPr>
          <w:rFonts w:ascii="Calibri" w:cs="Calibri" w:eastAsia="Calibri" w:hAnsi="Calibri"/>
          <w:b/>
          <w:bCs/>
          <w:i w:val="false"/>
          <w:iCs w:val="false"/>
          <w:color w:val="1A1A1A"/>
          <w:sz w:val="22"/>
          <w:szCs w:val="22"/>
        </w:rPr>
        <w:t xml:space="preserve">The ask. </w:t>
      </w:r>
      <w:r>
        <w:rPr>
          <w:rFonts w:ascii="Calibri" w:cs="Calibri" w:eastAsia="Calibri" w:hAnsi="Calibri"/>
          <w:b w:val="false"/>
          <w:bCs w:val="false"/>
          <w:i w:val="false"/>
          <w:iCs w:val="false"/>
          <w:color w:val="1A1A1A"/>
          <w:sz w:val="22"/>
          <w:szCs w:val="22"/>
        </w:rPr>
        <w:t xml:space="preserve">A first meeting between Heineken Beverages SA leadership, Heineken Amsterdam (ADE relationship owners), and the ADW founding team in May 2026. Target term sheet by end of May. Main-partner announcement in June 2026 public launch.</w:t>
      </w:r>
    </w:p>
    <w:p>
      <w:pPr>
        <w:pBdr>
          <w:bottom w:val="single" w:color="E11D2E" w:sz="6" w:space="1"/>
        </w:pBdr>
        <w:spacing w:after="120" w:before="120"/>
      </w:pPr>
      <w:r>
        <w:t xml:space="preserve"/>
      </w:r>
    </w:p>
    <w:p>
      <w:pPr>
        <w:pStyle w:val="Heading1"/>
        <w:spacing w:after="200" w:before="400"/>
      </w:pPr>
      <w:r>
        <w:rPr>
          <w:rFonts w:ascii="Calibri" w:cs="Calibri" w:eastAsia="Calibri" w:hAnsi="Calibri"/>
          <w:b/>
          <w:bCs/>
          <w:color w:val="1A1A1A"/>
          <w:sz w:val="36"/>
          <w:szCs w:val="36"/>
        </w:rPr>
        <w:t xml:space="preserve">Closing note</w:t>
      </w:r>
    </w:p>
    <w:p>
      <w:pPr>
        <w:spacing w:after="140" w:before="0" w:line="300"/>
        <w:jc w:val="left"/>
      </w:pPr>
      <w:r>
        <w:rPr>
          <w:rFonts w:ascii="Calibri" w:cs="Calibri" w:eastAsia="Calibri" w:hAnsi="Calibri"/>
          <w:b w:val="false"/>
          <w:bCs w:val="false"/>
          <w:i w:val="false"/>
          <w:iCs w:val="false"/>
          <w:color w:val="1A1A1A"/>
          <w:sz w:val="22"/>
          <w:szCs w:val="22"/>
        </w:rPr>
        <w:t xml:space="preserve">ADE is thirty years old. The first ADE had an attendance of a few hundred. The discipline of a phased build — proving the concept in Year 1, consolidating in Year 2, scaling to international parity in Year 3 — is how ADE itself was built and how every comparable property (SXSW, MIDEM in its prime, Primavera Pro, Sónar+D) has been built since.</w:t>
      </w:r>
    </w:p>
    <w:p>
      <w:pPr>
        <w:spacing w:after="140" w:before="0" w:line="300"/>
        <w:jc w:val="left"/>
      </w:pPr>
      <w:r>
        <w:rPr>
          <w:rFonts w:ascii="Calibri" w:cs="Calibri" w:eastAsia="Calibri" w:hAnsi="Calibri"/>
          <w:b w:val="false"/>
          <w:bCs w:val="false"/>
          <w:i w:val="false"/>
          <w:iCs w:val="false"/>
          <w:color w:val="1A1A1A"/>
          <w:sz w:val="22"/>
          <w:szCs w:val="22"/>
        </w:rPr>
        <w:t xml:space="preserve">The strategic fit with Heineken is unusually clean. The strategic fit with the two South African tourism boards is unusually clean. The strategic fit with the ADE Sub-Saharan Africa theme in October 2026 is, frankly, lucky timing that probably will not recur.</w:t>
      </w:r>
    </w:p>
    <w:p>
      <w:pPr>
        <w:spacing w:after="140" w:before="0" w:line="300"/>
        <w:jc w:val="left"/>
      </w:pPr>
      <w:r>
        <w:rPr>
          <w:rFonts w:ascii="Calibri" w:cs="Calibri" w:eastAsia="Calibri" w:hAnsi="Calibri"/>
          <w:b w:val="false"/>
          <w:bCs w:val="false"/>
          <w:i w:val="false"/>
          <w:iCs w:val="false"/>
          <w:color w:val="1A1A1A"/>
          <w:sz w:val="22"/>
          <w:szCs w:val="22"/>
        </w:rPr>
        <w:t xml:space="preserve">Eight months is tight. It is not impossible. What determines whether Year 1 happens is not resources — the partnership architecture can be built to fit the resources available — it is whether the seven decisions in Section 9 are made on time, and whether the main partner conversation closes on schedule in May. Everything else follows from those two things.</w:t>
      </w:r>
    </w:p>
    <w:p>
      <w:pPr>
        <w:spacing w:after="140" w:before="0" w:line="300"/>
        <w:jc w:val="left"/>
      </w:pPr>
      <w:r>
        <w:rPr>
          <w:rFonts w:ascii="Calibri" w:cs="Calibri" w:eastAsia="Calibri" w:hAnsi="Calibri"/>
          <w:b w:val="false"/>
          <w:bCs w:val="false"/>
          <w:i w:val="false"/>
          <w:iCs w:val="false"/>
          <w:color w:val="1A1A1A"/>
          <w:sz w:val="22"/>
          <w:szCs w:val="22"/>
        </w:rPr>
        <w:t xml:space="preserve"> </w:t>
      </w:r>
    </w:p>
    <w:p>
      <w:pPr>
        <w:spacing w:after="140" w:before="0" w:line="300"/>
        <w:jc w:val="left"/>
      </w:pPr>
      <w:r>
        <w:rPr>
          <w:rFonts w:ascii="Calibri" w:cs="Calibri" w:eastAsia="Calibri" w:hAnsi="Calibri"/>
          <w:b w:val="false"/>
          <w:bCs w:val="false"/>
          <w:i/>
          <w:iCs/>
          <w:color w:val="6B6B6B"/>
          <w:sz w:val="20"/>
          <w:szCs w:val="20"/>
        </w:rPr>
        <w:t xml:space="preserve">— Prepared by Rockets Media / DanceAfrika / DiscovrTV, April 2026</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6B6B6B"/>
        <w:sz w:val="16"/>
        <w:szCs w:val="16"/>
      </w:rPr>
      <w:t xml:space="preserve">Page </w:t>
    </w:r>
    <w:r>
      <w:rPr>
        <w:rFonts w:ascii="Calibri" w:cs="Calibri" w:eastAsia="Calibri" w:hAnsi="Calibri"/>
        <w:color w:val="6B6B6B"/>
        <w:sz w:val="16"/>
        <w:szCs w:val="16"/>
      </w:rPr>
      <w:fldChar w:fldCharType="begin"/>
      <w:instrText xml:space="preserve">PAGE</w:instrText>
      <w:fldChar w:fldCharType="separate"/>
      <w:fldChar w:fldCharType="end"/>
    </w:r>
    <w:r>
      <w:rPr>
        <w:rFonts w:ascii="Calibri" w:cs="Calibri" w:eastAsia="Calibri" w:hAnsi="Calibri"/>
        <w:color w:val="6B6B6B"/>
        <w:sz w:val="16"/>
        <w:szCs w:val="16"/>
      </w:rPr>
      <w:t xml:space="preserve"> of </w:t>
    </w:r>
    <w:r>
      <w:rPr>
        <w:rFonts w:ascii="Calibri" w:cs="Calibri" w:eastAsia="Calibri" w:hAnsi="Calibri"/>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Calibri" w:cs="Calibri" w:eastAsia="Calibri" w:hAnsi="Calibri"/>
        <w:b/>
        <w:bCs/>
        <w:color w:val="E11D2E"/>
        <w:sz w:val="16"/>
        <w:szCs w:val="16"/>
      </w:rPr>
      <w:t xml:space="preserve">AFRICA DANCE WEEK  </w:t>
    </w:r>
    <w:r>
      <w:rPr>
        <w:rFonts w:ascii="Calibri" w:cs="Calibri" w:eastAsia="Calibri" w:hAnsi="Calibri"/>
        <w:color w:val="6B6B6B"/>
        <w:sz w:val="16"/>
        <w:szCs w:val="16"/>
      </w:rPr>
      <w:t xml:space="preserve">·  Strategic Blueprint — April 2026  ·  Working Draft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0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A1A1A"/>
      <w:sz w:val="36"/>
      <w:szCs w:val="36"/>
    </w:rPr>
  </w:style>
  <w:style w:type="paragraph" w:styleId="Heading2">
    <w:name w:val="Heading 2"/>
    <w:basedOn w:val="Normal"/>
    <w:next w:val="Normal"/>
    <w:qFormat/>
    <w:pPr>
      <w:spacing w:after="140" w:before="320"/>
      <w:outlineLvl w:val="1"/>
    </w:pPr>
    <w:rPr>
      <w:rFonts w:ascii="Calibri" w:cs="Calibri" w:eastAsia="Calibri" w:hAnsi="Calibri"/>
      <w:b/>
      <w:bCs/>
      <w:color w:val="1A1A1A"/>
      <w:sz w:val="28"/>
      <w:szCs w:val="28"/>
    </w:rPr>
  </w:style>
  <w:style w:type="paragraph" w:styleId="Heading3">
    <w:name w:val="Heading 3"/>
    <w:basedOn w:val="Normal"/>
    <w:next w:val="Normal"/>
    <w:qFormat/>
    <w:pPr>
      <w:spacing w:after="100" w:before="220"/>
      <w:outlineLvl w:val="2"/>
    </w:pPr>
    <w:rPr>
      <w:rFonts w:ascii="Calibri" w:cs="Calibri" w:eastAsia="Calibri" w:hAnsi="Calibri"/>
      <w:b/>
      <w:bCs/>
      <w:color w:val="E11D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d4cfbe5f76d7342b7b16a64863c5d6a33a6bb9a.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 Dance Week — ADE Mirror Blueprint</dc:title>
  <dc:creator>Rockets Media</dc:creator>
  <dc:description>Strategic blueprint for ADW, modelled on ADE, framed for Heineken partnership</dc:description>
  <cp:lastModifiedBy>Un-named</cp:lastModifiedBy>
  <cp:revision>1</cp:revision>
  <dcterms:created xsi:type="dcterms:W3CDTF">2026-04-19T10:21:31.317Z</dcterms:created>
  <dcterms:modified xsi:type="dcterms:W3CDTF">2026-04-19T10:21:31.318Z</dcterms:modified>
</cp:coreProperties>
</file>

<file path=docProps/custom.xml><?xml version="1.0" encoding="utf-8"?>
<Properties xmlns="http://schemas.openxmlformats.org/officeDocument/2006/custom-properties" xmlns:vt="http://schemas.openxmlformats.org/officeDocument/2006/docPropsVTypes"/>
</file>